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23EB7">
        <w:rPr>
          <w:rFonts w:ascii="Arial" w:hAnsi="Arial" w:cs="Arial"/>
          <w:b/>
          <w:lang w:val="pt-BR"/>
        </w:rPr>
        <w:t>0061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623EB7">
        <w:rPr>
          <w:rFonts w:ascii="Arial" w:hAnsi="Arial" w:cs="Arial"/>
          <w:lang w:val="pt-BR"/>
        </w:rPr>
        <w:t>2346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23EB7">
        <w:rPr>
          <w:rFonts w:ascii="Arial" w:hAnsi="Arial" w:cs="Arial"/>
          <w:lang w:val="pt-BR"/>
        </w:rPr>
        <w:t>HIDROCLINICA SERVIÇOS LTDA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>CONTA 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5A69E-833B-4953-A5C4-D864D1A0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2017-05-02T12:04:00Z</cp:lastPrinted>
  <dcterms:created xsi:type="dcterms:W3CDTF">2017-05-02T12:05:00Z</dcterms:created>
  <dcterms:modified xsi:type="dcterms:W3CDTF">2017-05-02T12:05:00Z</dcterms:modified>
</cp:coreProperties>
</file>