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46E4C">
        <w:rPr>
          <w:rFonts w:ascii="Arial" w:hAnsi="Arial" w:cs="Arial"/>
          <w:b/>
          <w:lang w:val="pt-BR"/>
        </w:rPr>
        <w:t>0001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46E4C">
        <w:rPr>
          <w:rFonts w:ascii="Arial" w:hAnsi="Arial" w:cs="Arial"/>
          <w:lang w:val="pt-BR"/>
        </w:rPr>
        <w:t>2354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46E4C">
        <w:rPr>
          <w:rFonts w:ascii="Arial" w:hAnsi="Arial" w:cs="Arial"/>
          <w:lang w:val="pt-BR"/>
        </w:rPr>
        <w:t>MARIA VALDELITE PEREIRA DE LUCENA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646E4C">
        <w:rPr>
          <w:rFonts w:ascii="Arial" w:hAnsi="Arial" w:cs="Arial"/>
          <w:lang w:val="pt-BR"/>
        </w:rPr>
        <w:t>PSICOLOGIA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2F7BB-2210-41E4-BE3F-574F9379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2017-05-02T12:27:00Z</cp:lastPrinted>
  <dcterms:created xsi:type="dcterms:W3CDTF">2017-05-02T12:28:00Z</dcterms:created>
  <dcterms:modified xsi:type="dcterms:W3CDTF">2017-05-02T12:28:00Z</dcterms:modified>
</cp:coreProperties>
</file>