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2A3F50">
        <w:rPr>
          <w:rFonts w:ascii="Arial" w:hAnsi="Arial" w:cs="Arial"/>
          <w:b/>
          <w:lang w:val="pt-BR"/>
        </w:rPr>
        <w:t>0008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2A3F50">
        <w:rPr>
          <w:rFonts w:ascii="Arial" w:hAnsi="Arial" w:cs="Arial"/>
          <w:lang w:val="pt-BR"/>
        </w:rPr>
        <w:t>2356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2A3F50">
        <w:rPr>
          <w:rFonts w:ascii="Arial" w:hAnsi="Arial" w:cs="Arial"/>
          <w:lang w:val="pt-BR"/>
        </w:rPr>
        <w:t>MARIA DO CARMO LIMA BARBOSA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646E4C">
        <w:rPr>
          <w:rFonts w:ascii="Arial" w:hAnsi="Arial" w:cs="Arial"/>
          <w:lang w:val="pt-BR"/>
        </w:rPr>
        <w:t>PSICOLOGIA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537B9-EFBF-44F0-B2DB-6939E13A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2017-05-02T12:36:00Z</cp:lastPrinted>
  <dcterms:created xsi:type="dcterms:W3CDTF">2017-05-02T12:37:00Z</dcterms:created>
  <dcterms:modified xsi:type="dcterms:W3CDTF">2017-05-02T12:37:00Z</dcterms:modified>
</cp:coreProperties>
</file>