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A702E9">
        <w:rPr>
          <w:rFonts w:ascii="Arial" w:hAnsi="Arial" w:cs="Arial"/>
          <w:b/>
          <w:lang w:val="pt-BR"/>
        </w:rPr>
        <w:t>0220/2017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A702E9">
        <w:rPr>
          <w:rFonts w:ascii="Arial" w:hAnsi="Arial" w:cs="Arial"/>
          <w:lang w:val="pt-BR"/>
        </w:rPr>
        <w:t>2369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A702E9">
        <w:rPr>
          <w:rFonts w:ascii="Arial" w:hAnsi="Arial" w:cs="Arial"/>
          <w:lang w:val="pt-BR"/>
        </w:rPr>
        <w:t>ARLEY GUIZELINI NICÁCIO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27F86">
        <w:rPr>
          <w:rFonts w:ascii="Arial" w:hAnsi="Arial" w:cs="Arial"/>
          <w:b/>
          <w:sz w:val="23"/>
          <w:szCs w:val="23"/>
        </w:rPr>
        <w:t>Márcia Soares Costa Correia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403E0-127F-4209-9960-B91C07E3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2017-05-03T14:39:00Z</cp:lastPrinted>
  <dcterms:created xsi:type="dcterms:W3CDTF">2017-05-03T14:41:00Z</dcterms:created>
  <dcterms:modified xsi:type="dcterms:W3CDTF">2017-05-03T14:41:00Z</dcterms:modified>
</cp:coreProperties>
</file>