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8E" w:rsidRPr="00304A29" w:rsidRDefault="0088788E" w:rsidP="00A94F14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304A29">
        <w:rPr>
          <w:rFonts w:ascii="Arial" w:hAnsi="Arial" w:cs="Arial"/>
          <w:sz w:val="22"/>
          <w:szCs w:val="22"/>
          <w:lang w:val="pt-BR"/>
        </w:rPr>
        <w:t>20105-</w:t>
      </w:r>
      <w:r w:rsidR="00374081" w:rsidRPr="00304A29">
        <w:rPr>
          <w:rFonts w:ascii="Arial" w:hAnsi="Arial" w:cs="Arial"/>
          <w:sz w:val="22"/>
          <w:szCs w:val="22"/>
          <w:lang w:val="pt-BR"/>
        </w:rPr>
        <w:t>01060/2015</w:t>
      </w:r>
    </w:p>
    <w:p w:rsidR="0088788E" w:rsidRPr="00304A29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: </w:t>
      </w:r>
      <w:r w:rsidR="00374081" w:rsidRPr="00304A29">
        <w:rPr>
          <w:rFonts w:ascii="Arial" w:hAnsi="Arial" w:cs="Arial"/>
          <w:sz w:val="22"/>
          <w:szCs w:val="22"/>
          <w:lang w:val="pt-BR"/>
        </w:rPr>
        <w:t xml:space="preserve">José </w:t>
      </w:r>
      <w:r w:rsidR="009B70C1" w:rsidRPr="00304A29">
        <w:rPr>
          <w:rFonts w:ascii="Arial" w:hAnsi="Arial" w:cs="Arial"/>
          <w:sz w:val="22"/>
          <w:szCs w:val="22"/>
          <w:lang w:val="pt-BR"/>
        </w:rPr>
        <w:t>A</w:t>
      </w:r>
      <w:r w:rsidR="00374081" w:rsidRPr="00304A29">
        <w:rPr>
          <w:rFonts w:ascii="Arial" w:hAnsi="Arial" w:cs="Arial"/>
          <w:sz w:val="22"/>
          <w:szCs w:val="22"/>
          <w:lang w:val="pt-BR"/>
        </w:rPr>
        <w:t xml:space="preserve">lmirante de </w:t>
      </w:r>
      <w:r w:rsidR="009B70C1" w:rsidRPr="00304A29">
        <w:rPr>
          <w:rFonts w:ascii="Arial" w:hAnsi="Arial" w:cs="Arial"/>
          <w:sz w:val="22"/>
          <w:szCs w:val="22"/>
          <w:lang w:val="pt-BR"/>
        </w:rPr>
        <w:t>O</w:t>
      </w:r>
      <w:r w:rsidR="00374081" w:rsidRPr="00304A29">
        <w:rPr>
          <w:rFonts w:ascii="Arial" w:hAnsi="Arial" w:cs="Arial"/>
          <w:sz w:val="22"/>
          <w:szCs w:val="22"/>
          <w:lang w:val="pt-BR"/>
        </w:rPr>
        <w:t xml:space="preserve">liveira </w:t>
      </w:r>
      <w:r w:rsidR="009B70C1" w:rsidRPr="00304A29">
        <w:rPr>
          <w:rFonts w:ascii="Arial" w:hAnsi="Arial" w:cs="Arial"/>
          <w:sz w:val="22"/>
          <w:szCs w:val="22"/>
          <w:lang w:val="pt-BR"/>
        </w:rPr>
        <w:t>S</w:t>
      </w:r>
      <w:r w:rsidR="00374081" w:rsidRPr="00304A29">
        <w:rPr>
          <w:rFonts w:ascii="Arial" w:hAnsi="Arial" w:cs="Arial"/>
          <w:sz w:val="22"/>
          <w:szCs w:val="22"/>
          <w:lang w:val="pt-BR"/>
        </w:rPr>
        <w:t xml:space="preserve">antos </w:t>
      </w:r>
    </w:p>
    <w:p w:rsidR="00E05C7C" w:rsidRPr="00304A29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ASSUNTO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304A29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A777D5" w:rsidRPr="00304A29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88788E" w:rsidRPr="00304A29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DESPACHO</w:t>
      </w:r>
    </w:p>
    <w:p w:rsidR="00B5780B" w:rsidRPr="00304A29" w:rsidRDefault="00B5780B" w:rsidP="004679F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361034" w:rsidRPr="00304A29" w:rsidRDefault="00361034" w:rsidP="0036103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304A29">
        <w:rPr>
          <w:rFonts w:ascii="Arial" w:hAnsi="Arial" w:cs="Arial"/>
          <w:b/>
          <w:sz w:val="22"/>
          <w:szCs w:val="22"/>
          <w:lang w:val="pt-BR"/>
        </w:rPr>
        <w:t>SEPLAG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referido, de volume único com 49 folhas, em decorrência do Despacho à fl. 48, datado de 10/03/2017, da lavra do Secretário Executivo de Gestão Pública, Genildo José da Silva, para análise e parecer acerca de </w:t>
      </w:r>
      <w:r w:rsidRPr="00304A29">
        <w:rPr>
          <w:rFonts w:ascii="Arial" w:hAnsi="Arial" w:cs="Arial"/>
          <w:b/>
          <w:sz w:val="22"/>
          <w:szCs w:val="22"/>
          <w:lang w:val="pt-BR"/>
        </w:rPr>
        <w:t>divergência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do valor de planilha do retroativo do exercício de 2016, apresentado pela Delegacia Geral da Policia Civil –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 DGPC/AL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(fl. 36) e verificação da exação dos cálculos procedidos pela </w:t>
      </w:r>
      <w:r w:rsidRPr="00304A29">
        <w:rPr>
          <w:rFonts w:ascii="Arial" w:hAnsi="Arial" w:cs="Arial"/>
          <w:b/>
          <w:sz w:val="22"/>
          <w:szCs w:val="22"/>
          <w:lang w:val="pt-BR"/>
        </w:rPr>
        <w:t>SEPLAG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às fls.40/41.</w:t>
      </w:r>
    </w:p>
    <w:p w:rsidR="00017882" w:rsidRPr="00304A29" w:rsidRDefault="00017882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656EB2" w:rsidRPr="00304A29" w:rsidRDefault="00656EB2" w:rsidP="00033EB8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Atendendo a solicitação contida no </w:t>
      </w:r>
      <w:r w:rsidRPr="00304A29">
        <w:rPr>
          <w:rFonts w:ascii="Arial" w:hAnsi="Arial" w:cs="Arial"/>
          <w:b/>
          <w:sz w:val="22"/>
          <w:szCs w:val="22"/>
          <w:lang w:val="pt-BR"/>
        </w:rPr>
        <w:t>Despacho</w:t>
      </w:r>
      <w:r w:rsidR="00130447" w:rsidRPr="00304A29">
        <w:rPr>
          <w:rFonts w:ascii="Arial" w:hAnsi="Arial" w:cs="Arial"/>
          <w:sz w:val="22"/>
          <w:szCs w:val="22"/>
          <w:lang w:val="pt-BR"/>
        </w:rPr>
        <w:t xml:space="preserve"> à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fl.48, </w:t>
      </w:r>
      <w:r w:rsidR="00130447" w:rsidRPr="00304A29">
        <w:rPr>
          <w:rFonts w:ascii="Arial" w:hAnsi="Arial" w:cs="Arial"/>
          <w:sz w:val="22"/>
          <w:szCs w:val="22"/>
          <w:lang w:val="pt-BR"/>
        </w:rPr>
        <w:t>sem, contudo, desconsiderar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o teor do </w:t>
      </w:r>
      <w:r w:rsidRPr="00304A29">
        <w:rPr>
          <w:rFonts w:ascii="Arial" w:hAnsi="Arial" w:cs="Arial"/>
          <w:b/>
          <w:sz w:val="22"/>
          <w:szCs w:val="22"/>
          <w:lang w:val="pt-BR"/>
        </w:rPr>
        <w:t>Parecer Técnico/CGE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às fls.</w:t>
      </w:r>
      <w:r w:rsidR="00130447" w:rsidRPr="00304A29">
        <w:rPr>
          <w:rFonts w:ascii="Arial" w:hAnsi="Arial" w:cs="Arial"/>
          <w:sz w:val="22"/>
          <w:szCs w:val="22"/>
          <w:lang w:val="pt-BR"/>
        </w:rPr>
        <w:t xml:space="preserve"> </w:t>
      </w:r>
      <w:r w:rsidRPr="00304A29">
        <w:rPr>
          <w:rFonts w:ascii="Arial" w:hAnsi="Arial" w:cs="Arial"/>
          <w:sz w:val="22"/>
          <w:szCs w:val="22"/>
          <w:lang w:val="pt-BR"/>
        </w:rPr>
        <w:t>43/44</w:t>
      </w:r>
      <w:r w:rsidR="00130447" w:rsidRPr="00304A29">
        <w:rPr>
          <w:rFonts w:ascii="Arial" w:hAnsi="Arial" w:cs="Arial"/>
          <w:sz w:val="22"/>
          <w:szCs w:val="22"/>
          <w:lang w:val="pt-BR"/>
        </w:rPr>
        <w:t>,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passa-se a análise:</w:t>
      </w:r>
    </w:p>
    <w:p w:rsidR="00033EB8" w:rsidRPr="00304A29" w:rsidRDefault="00033EB8" w:rsidP="00304A29">
      <w:pPr>
        <w:widowControl/>
        <w:suppressAutoHyphens w:val="0"/>
        <w:jc w:val="both"/>
        <w:rPr>
          <w:rFonts w:ascii="Arial" w:hAnsi="Arial" w:cs="Arial"/>
          <w:sz w:val="22"/>
          <w:szCs w:val="22"/>
          <w:lang w:val="pt-BR"/>
        </w:rPr>
      </w:pPr>
    </w:p>
    <w:p w:rsidR="002E6A52" w:rsidRPr="00304A29" w:rsidRDefault="00361034" w:rsidP="00304A29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DA EXAÇÃO DOS CÁLCULOS -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Constata-se que os valores apresentados pela 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Gerência de Análise e Instrução Processual da Folha de Pagamento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da 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SEPLAG,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referente ao período considerado de janeiro/2016 a julho/2016, são consistentes, por terem sido calculados com esmero, conforme despacho e planilha de verificação de exação de cálculo da </w:t>
      </w:r>
      <w:r w:rsidRPr="00304A29">
        <w:rPr>
          <w:rFonts w:ascii="Arial" w:hAnsi="Arial" w:cs="Arial"/>
          <w:b/>
          <w:sz w:val="22"/>
          <w:szCs w:val="22"/>
          <w:lang w:val="pt-BR"/>
        </w:rPr>
        <w:t>SEPLAG,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às fls. 40 e 41;</w:t>
      </w:r>
    </w:p>
    <w:p w:rsidR="00361034" w:rsidRPr="00304A29" w:rsidRDefault="00361034" w:rsidP="00304A29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DO VALOR APURADO -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Diante das informações apresentadas, o servidor interessado faz jus ao recebimento do valor de 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R$14.415,10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(quatorze mil, quatrocentos e quinze reais e dez centavos), de acordo com o despacho e planilha de verificação de exação de cálculo da </w:t>
      </w:r>
      <w:r w:rsidRPr="00304A29">
        <w:rPr>
          <w:rFonts w:ascii="Arial" w:hAnsi="Arial" w:cs="Arial"/>
          <w:b/>
          <w:sz w:val="22"/>
          <w:szCs w:val="22"/>
          <w:lang w:val="pt-BR"/>
        </w:rPr>
        <w:t>SEPLAG (</w:t>
      </w:r>
      <w:r w:rsidRPr="00304A29">
        <w:rPr>
          <w:rFonts w:ascii="Arial" w:hAnsi="Arial" w:cs="Arial"/>
          <w:sz w:val="22"/>
          <w:szCs w:val="22"/>
          <w:lang w:val="pt-BR"/>
        </w:rPr>
        <w:t>fls. 40 e 41);</w:t>
      </w:r>
    </w:p>
    <w:p w:rsidR="00400C64" w:rsidRPr="00304A29" w:rsidRDefault="00C02700" w:rsidP="009B70C1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DA DOTAÇÃO ORÇAMENTÁRIA – </w:t>
      </w:r>
      <w:r w:rsidR="00400C64" w:rsidRPr="00304A29">
        <w:rPr>
          <w:rFonts w:ascii="Arial" w:hAnsi="Arial" w:cs="Arial"/>
          <w:sz w:val="22"/>
          <w:szCs w:val="22"/>
          <w:lang w:val="pt-BR"/>
        </w:rPr>
        <w:t xml:space="preserve">Consta informação da existência de dotação orçamentária, com base no orçamento vigente do exercício de 2017, conforme despacho nº 849/2017, à fl.47, no valor de </w:t>
      </w:r>
      <w:r w:rsidR="00400C64" w:rsidRPr="00304A29">
        <w:rPr>
          <w:rFonts w:ascii="Arial" w:hAnsi="Arial" w:cs="Arial"/>
          <w:b/>
          <w:sz w:val="22"/>
          <w:szCs w:val="22"/>
          <w:lang w:val="pt-BR"/>
        </w:rPr>
        <w:t xml:space="preserve">R$ 12.433,05 </w:t>
      </w:r>
      <w:r w:rsidR="00400C64" w:rsidRPr="00304A29">
        <w:rPr>
          <w:rFonts w:ascii="Arial" w:hAnsi="Arial" w:cs="Arial"/>
          <w:sz w:val="22"/>
          <w:szCs w:val="22"/>
          <w:lang w:val="pt-BR"/>
        </w:rPr>
        <w:t xml:space="preserve">(doze mil, quatrocentos e trinta e três reais e cinco centavos), para atender o pagamento da despesa referente ao período de 07/08/2015 a 31/12/2015, de que trata o parecer técnico emitido pela CGE (fls. 43/44). Nesse sentido, faz-se necessário atualizar a informação de existência de disponibilidade orçamentária, de forma a contemplar, </w:t>
      </w:r>
      <w:r w:rsidR="00400C64" w:rsidRPr="00304A29">
        <w:rPr>
          <w:rFonts w:ascii="Arial" w:hAnsi="Arial" w:cs="Arial"/>
          <w:sz w:val="22"/>
          <w:szCs w:val="22"/>
          <w:lang w:val="pt-BR"/>
        </w:rPr>
        <w:lastRenderedPageBreak/>
        <w:t xml:space="preserve">também, o valor de </w:t>
      </w:r>
      <w:r w:rsidR="00400C64" w:rsidRPr="00304A29">
        <w:rPr>
          <w:rFonts w:ascii="Arial" w:hAnsi="Arial" w:cs="Arial"/>
          <w:b/>
          <w:sz w:val="22"/>
          <w:szCs w:val="22"/>
          <w:lang w:val="pt-BR"/>
        </w:rPr>
        <w:t xml:space="preserve">R$14.415,10 </w:t>
      </w:r>
      <w:r w:rsidR="00400C64" w:rsidRPr="00304A29">
        <w:rPr>
          <w:rFonts w:ascii="Arial" w:hAnsi="Arial" w:cs="Arial"/>
          <w:sz w:val="22"/>
          <w:szCs w:val="22"/>
          <w:lang w:val="pt-BR"/>
        </w:rPr>
        <w:t>(quatorze mil, quatrocentos e quinze reais e dez centavos), alusivos ao período de janeiro a março de 2016, objeto da presente análise.</w:t>
      </w:r>
    </w:p>
    <w:p w:rsidR="00C9510E" w:rsidRPr="00304A29" w:rsidRDefault="00C9510E" w:rsidP="005923D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="00804401" w:rsidRPr="00304A29" w:rsidRDefault="003348D5" w:rsidP="00304A29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304A29">
        <w:rPr>
          <w:rFonts w:ascii="Arial" w:hAnsi="Arial" w:cs="Arial"/>
          <w:sz w:val="22"/>
          <w:szCs w:val="22"/>
          <w:lang w:val="pt-BR"/>
        </w:rPr>
        <w:t>no valor de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 R$14.415,10</w:t>
      </w:r>
      <w:r w:rsidR="00E4241F" w:rsidRPr="00304A2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(quatorze mil, quatrocentos e quinze reais e dez centavos), devidos ao servidor José Almirante de Oliveira Santos, matrícula nº 66.014-0, </w:t>
      </w:r>
      <w:r w:rsidR="00E4241F" w:rsidRPr="00304A29">
        <w:rPr>
          <w:rFonts w:ascii="Arial" w:hAnsi="Arial" w:cs="Arial"/>
          <w:sz w:val="22"/>
          <w:szCs w:val="22"/>
          <w:lang w:val="pt-BR"/>
        </w:rPr>
        <w:t>alusivo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ao período de janeiro/2016</w:t>
      </w:r>
      <w:r w:rsidR="003276C2" w:rsidRPr="00304A29">
        <w:rPr>
          <w:rFonts w:ascii="Arial" w:hAnsi="Arial" w:cs="Arial"/>
          <w:sz w:val="22"/>
          <w:szCs w:val="22"/>
          <w:lang w:val="pt-BR"/>
        </w:rPr>
        <w:t xml:space="preserve"> a julho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/2016,  sem prejuízo do valor de </w:t>
      </w:r>
      <w:r w:rsidR="003276C2" w:rsidRPr="00304A29">
        <w:rPr>
          <w:rFonts w:ascii="Arial" w:hAnsi="Arial" w:cs="Arial"/>
          <w:b/>
          <w:sz w:val="22"/>
          <w:szCs w:val="22"/>
          <w:lang w:val="pt-BR"/>
        </w:rPr>
        <w:t xml:space="preserve">R$ 12.433,05 </w:t>
      </w:r>
      <w:r w:rsidR="003276C2" w:rsidRPr="00304A29">
        <w:rPr>
          <w:rFonts w:ascii="Arial" w:hAnsi="Arial" w:cs="Arial"/>
          <w:sz w:val="22"/>
          <w:szCs w:val="22"/>
          <w:lang w:val="pt-BR"/>
        </w:rPr>
        <w:t>(doze mil, quatrocentos e trinta e três reais e cinco centavos)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, </w:t>
      </w:r>
      <w:r w:rsidR="003276C2" w:rsidRPr="00304A29">
        <w:rPr>
          <w:rFonts w:ascii="Arial" w:hAnsi="Arial" w:cs="Arial"/>
          <w:sz w:val="22"/>
          <w:szCs w:val="22"/>
          <w:lang w:val="pt-BR"/>
        </w:rPr>
        <w:t xml:space="preserve">valor este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já </w:t>
      </w:r>
      <w:r w:rsidR="003276C2" w:rsidRPr="00304A29">
        <w:rPr>
          <w:rFonts w:ascii="Arial" w:hAnsi="Arial" w:cs="Arial"/>
          <w:sz w:val="22"/>
          <w:szCs w:val="22"/>
          <w:lang w:val="pt-BR"/>
        </w:rPr>
        <w:t>deferido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por meio do Parecer Técnico desta CG</w:t>
      </w:r>
      <w:r w:rsidR="003276C2" w:rsidRPr="00304A29">
        <w:rPr>
          <w:rFonts w:ascii="Arial" w:hAnsi="Arial" w:cs="Arial"/>
          <w:sz w:val="22"/>
          <w:szCs w:val="22"/>
          <w:lang w:val="pt-BR"/>
        </w:rPr>
        <w:t>E, fls. 43/44</w:t>
      </w:r>
      <w:r w:rsidRPr="00304A29">
        <w:rPr>
          <w:rFonts w:ascii="Arial" w:hAnsi="Arial" w:cs="Arial"/>
          <w:sz w:val="22"/>
          <w:szCs w:val="22"/>
          <w:lang w:val="pt-BR"/>
        </w:rPr>
        <w:t>, deste processo,</w:t>
      </w:r>
      <w:r w:rsidR="003276C2" w:rsidRPr="00304A29">
        <w:rPr>
          <w:rFonts w:ascii="Arial" w:hAnsi="Arial" w:cs="Arial"/>
          <w:sz w:val="22"/>
          <w:szCs w:val="22"/>
          <w:lang w:val="pt-BR"/>
        </w:rPr>
        <w:t xml:space="preserve"> correspondente ao período de 07/08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/2015 a 31/12/2015, perfazendo o valor total de 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R$ </w:t>
      </w:r>
      <w:r w:rsidR="00E4241F" w:rsidRPr="00304A29">
        <w:rPr>
          <w:rFonts w:ascii="Arial" w:hAnsi="Arial" w:cs="Arial"/>
          <w:b/>
          <w:sz w:val="22"/>
          <w:szCs w:val="22"/>
          <w:lang w:val="pt-BR"/>
        </w:rPr>
        <w:t>26.848,15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 (</w:t>
      </w:r>
      <w:r w:rsidR="00E4241F" w:rsidRPr="00304A29">
        <w:rPr>
          <w:rFonts w:ascii="Arial" w:hAnsi="Arial" w:cs="Arial"/>
          <w:b/>
          <w:sz w:val="22"/>
          <w:szCs w:val="22"/>
          <w:lang w:val="pt-BR"/>
        </w:rPr>
        <w:t>vinte e seis reais, oitocentos e quarenta e oito reais e quinze centavos</w:t>
      </w:r>
      <w:r w:rsidRPr="00304A29">
        <w:rPr>
          <w:rFonts w:ascii="Arial" w:hAnsi="Arial" w:cs="Arial"/>
          <w:b/>
          <w:sz w:val="22"/>
          <w:szCs w:val="22"/>
          <w:lang w:val="pt-BR"/>
        </w:rPr>
        <w:t>)</w:t>
      </w:r>
      <w:r w:rsidRPr="00304A29">
        <w:rPr>
          <w:rFonts w:ascii="Arial" w:hAnsi="Arial" w:cs="Arial"/>
          <w:sz w:val="22"/>
          <w:szCs w:val="22"/>
          <w:lang w:val="pt-BR"/>
        </w:rPr>
        <w:t>,</w:t>
      </w:r>
      <w:r w:rsidR="00E4241F" w:rsidRPr="00304A29">
        <w:rPr>
          <w:rFonts w:ascii="Arial" w:hAnsi="Arial" w:cs="Arial"/>
          <w:sz w:val="22"/>
          <w:szCs w:val="22"/>
          <w:lang w:val="pt-BR"/>
        </w:rPr>
        <w:t xml:space="preserve"> </w:t>
      </w:r>
      <w:r w:rsidR="00304A29" w:rsidRPr="00304A29">
        <w:rPr>
          <w:rFonts w:ascii="Arial" w:hAnsi="Arial" w:cs="Arial"/>
          <w:sz w:val="22"/>
          <w:szCs w:val="22"/>
          <w:lang w:val="pt-BR"/>
        </w:rPr>
        <w:t xml:space="preserve">referentes aos valores remanescentes, originados da progressão horizontal para a Classe A - Nível I, </w:t>
      </w: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condicionado </w:t>
      </w:r>
      <w:r w:rsidRPr="00304A29">
        <w:rPr>
          <w:rFonts w:ascii="Arial" w:hAnsi="Arial" w:cs="Arial"/>
          <w:sz w:val="22"/>
          <w:szCs w:val="22"/>
          <w:lang w:val="pt-BR"/>
        </w:rPr>
        <w:t>à informação da dotação orçamentária atualizada pelo órgão de origem, na forma citada na alínea “</w:t>
      </w:r>
      <w:r w:rsidRPr="00304A29">
        <w:rPr>
          <w:rFonts w:ascii="Arial" w:hAnsi="Arial" w:cs="Arial"/>
          <w:b/>
          <w:sz w:val="22"/>
          <w:szCs w:val="22"/>
          <w:lang w:val="pt-BR"/>
        </w:rPr>
        <w:t>d</w:t>
      </w:r>
      <w:r w:rsidRPr="00304A29">
        <w:rPr>
          <w:rFonts w:ascii="Arial" w:hAnsi="Arial" w:cs="Arial"/>
          <w:sz w:val="22"/>
          <w:szCs w:val="22"/>
          <w:lang w:val="pt-BR"/>
        </w:rPr>
        <w:t>” acima.</w:t>
      </w:r>
      <w:r w:rsidR="00E4241F" w:rsidRPr="00304A29">
        <w:rPr>
          <w:rFonts w:ascii="Arial" w:hAnsi="Arial" w:cs="Arial"/>
          <w:sz w:val="22"/>
          <w:szCs w:val="22"/>
          <w:lang w:val="pt-BR"/>
        </w:rPr>
        <w:t xml:space="preserve"> Nesse sentido, sugere-se o envio dos autos à </w:t>
      </w:r>
      <w:r w:rsidR="00E4241F" w:rsidRPr="00304A29">
        <w:rPr>
          <w:rFonts w:ascii="Arial" w:hAnsi="Arial" w:cs="Arial"/>
          <w:b/>
          <w:sz w:val="22"/>
          <w:szCs w:val="22"/>
          <w:lang w:val="pt-BR"/>
        </w:rPr>
        <w:t>DGPC/AL</w:t>
      </w:r>
      <w:r w:rsidR="00E4241F" w:rsidRPr="00304A29">
        <w:rPr>
          <w:rFonts w:ascii="Arial" w:hAnsi="Arial" w:cs="Arial"/>
          <w:sz w:val="22"/>
          <w:szCs w:val="22"/>
          <w:lang w:val="pt-BR"/>
        </w:rPr>
        <w:t>,</w:t>
      </w:r>
      <w:r w:rsidR="00E4241F" w:rsidRPr="00304A2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4241F" w:rsidRPr="00304A29">
        <w:rPr>
          <w:rFonts w:ascii="Arial" w:hAnsi="Arial" w:cs="Arial"/>
          <w:sz w:val="22"/>
          <w:szCs w:val="22"/>
          <w:lang w:val="pt-BR"/>
        </w:rPr>
        <w:t xml:space="preserve">para informar </w:t>
      </w:r>
      <w:r w:rsidR="0079088B" w:rsidRPr="00304A29">
        <w:rPr>
          <w:rFonts w:ascii="Arial" w:hAnsi="Arial" w:cs="Arial"/>
          <w:sz w:val="22"/>
          <w:szCs w:val="22"/>
          <w:lang w:val="pt-BR"/>
        </w:rPr>
        <w:t xml:space="preserve">a existência de </w:t>
      </w:r>
      <w:r w:rsidR="00E4241F" w:rsidRPr="00304A29">
        <w:rPr>
          <w:rFonts w:ascii="Arial" w:hAnsi="Arial" w:cs="Arial"/>
          <w:sz w:val="22"/>
          <w:szCs w:val="22"/>
          <w:lang w:val="pt-BR"/>
        </w:rPr>
        <w:t xml:space="preserve">dotação, </w:t>
      </w:r>
      <w:r w:rsidR="0079088B" w:rsidRPr="00304A29">
        <w:rPr>
          <w:rFonts w:ascii="Arial" w:hAnsi="Arial" w:cs="Arial"/>
          <w:sz w:val="22"/>
          <w:szCs w:val="22"/>
          <w:lang w:val="pt-BR"/>
        </w:rPr>
        <w:t>em ato contínuo encaminhar à</w:t>
      </w:r>
      <w:r w:rsidR="00E4241F" w:rsidRPr="00304A29">
        <w:rPr>
          <w:rFonts w:ascii="Arial" w:hAnsi="Arial" w:cs="Arial"/>
          <w:sz w:val="22"/>
          <w:szCs w:val="22"/>
          <w:lang w:val="pt-BR"/>
        </w:rPr>
        <w:t xml:space="preserve"> </w:t>
      </w:r>
      <w:r w:rsidR="00E4241F" w:rsidRPr="00304A29">
        <w:rPr>
          <w:rFonts w:ascii="Arial" w:hAnsi="Arial" w:cs="Arial"/>
          <w:b/>
          <w:sz w:val="22"/>
          <w:szCs w:val="22"/>
          <w:lang w:val="pt-BR"/>
        </w:rPr>
        <w:t>SEPLAG</w:t>
      </w:r>
      <w:r w:rsidR="00E4241F" w:rsidRPr="00304A29">
        <w:rPr>
          <w:rFonts w:ascii="Arial" w:hAnsi="Arial" w:cs="Arial"/>
          <w:sz w:val="22"/>
          <w:szCs w:val="22"/>
          <w:lang w:val="pt-BR"/>
        </w:rPr>
        <w:t>, para pagamento.</w:t>
      </w:r>
    </w:p>
    <w:p w:rsidR="00304A29" w:rsidRPr="00304A29" w:rsidRDefault="00304A29" w:rsidP="00304A29">
      <w:pPr>
        <w:spacing w:line="360" w:lineRule="auto"/>
        <w:ind w:firstLine="709"/>
        <w:jc w:val="both"/>
        <w:rPr>
          <w:rFonts w:ascii="Arial" w:hAnsi="Arial" w:cs="Arial"/>
          <w:color w:val="00B050"/>
          <w:sz w:val="22"/>
          <w:szCs w:val="22"/>
          <w:lang w:val="pt-BR"/>
        </w:rPr>
      </w:pPr>
    </w:p>
    <w:p w:rsidR="00804401" w:rsidRPr="00304A29" w:rsidRDefault="00804401" w:rsidP="00804401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>Isto posto, evoluímos os autos ao Gabinete da Controladora Geral, para conhecimento da análise apresentada e providências que o caso requer.</w:t>
      </w:r>
    </w:p>
    <w:p w:rsidR="009B70C1" w:rsidRPr="00304A29" w:rsidRDefault="009B70C1" w:rsidP="00304A2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79088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EA5C39" w:rsidRPr="00304A29">
        <w:rPr>
          <w:rFonts w:ascii="Arial" w:hAnsi="Arial" w:cs="Arial"/>
          <w:sz w:val="22"/>
          <w:szCs w:val="22"/>
          <w:lang w:val="pt-BR"/>
        </w:rPr>
        <w:t>26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de abril </w:t>
      </w:r>
      <w:r w:rsidR="00B5780B" w:rsidRPr="00304A29">
        <w:rPr>
          <w:rFonts w:ascii="Arial" w:hAnsi="Arial" w:cs="Arial"/>
          <w:sz w:val="22"/>
          <w:szCs w:val="22"/>
          <w:lang w:val="pt-BR"/>
        </w:rPr>
        <w:t>de 2017</w:t>
      </w:r>
    </w:p>
    <w:p w:rsidR="00B5780B" w:rsidRPr="00304A29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9B70C1" w:rsidRPr="00304A29" w:rsidRDefault="009B70C1" w:rsidP="009B70C1">
      <w:pPr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9B70C1" w:rsidP="009B70C1">
      <w:pPr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                                            </w:t>
      </w:r>
      <w:r w:rsidR="005C2793" w:rsidRPr="00304A29">
        <w:rPr>
          <w:rFonts w:ascii="Arial" w:hAnsi="Arial" w:cs="Arial"/>
          <w:sz w:val="22"/>
          <w:szCs w:val="22"/>
          <w:lang w:val="pt-BR"/>
        </w:rPr>
        <w:t>Fábio Farias de Almeida Filho</w:t>
      </w:r>
    </w:p>
    <w:p w:rsidR="00CF0463" w:rsidRPr="00304A29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Assessor</w:t>
      </w:r>
      <w:r w:rsidR="00B5780B" w:rsidRPr="00304A2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B70C1" w:rsidRPr="00304A29">
        <w:rPr>
          <w:rFonts w:ascii="Arial" w:hAnsi="Arial" w:cs="Arial"/>
          <w:b/>
          <w:sz w:val="22"/>
          <w:szCs w:val="22"/>
          <w:lang w:val="pt-BR"/>
        </w:rPr>
        <w:t>Técnico de Auditagem</w:t>
      </w:r>
    </w:p>
    <w:p w:rsidR="00B5780B" w:rsidRPr="00304A29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Matrícula nº 132</w:t>
      </w:r>
      <w:r w:rsidR="00B5780B" w:rsidRPr="00304A29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304A29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304A29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304A29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304A29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De acordo.</w:t>
      </w:r>
    </w:p>
    <w:p w:rsidR="00017882" w:rsidRPr="00304A29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304A29" w:rsidRDefault="00B5780B" w:rsidP="00E05C7C">
      <w:pPr>
        <w:tabs>
          <w:tab w:val="left" w:pos="0"/>
        </w:tabs>
        <w:jc w:val="center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>Fabrícia Costa Soares</w:t>
      </w:r>
    </w:p>
    <w:p w:rsidR="00B5780B" w:rsidRPr="00304A2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304A2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304A29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304A29" w:rsidRDefault="00304A29" w:rsidP="00D205F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D205F7" w:rsidRPr="00304A29" w:rsidRDefault="00D205F7" w:rsidP="00D205F7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Pr="00304A29">
        <w:rPr>
          <w:rFonts w:ascii="Arial" w:hAnsi="Arial" w:cs="Arial"/>
          <w:sz w:val="22"/>
          <w:szCs w:val="22"/>
          <w:lang w:val="pt-BR"/>
        </w:rPr>
        <w:t>20105-01060/2015</w:t>
      </w:r>
    </w:p>
    <w:p w:rsidR="00D205F7" w:rsidRPr="00304A29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: José </w:t>
      </w:r>
      <w:r w:rsidR="009B70C1" w:rsidRPr="00304A29">
        <w:rPr>
          <w:rFonts w:ascii="Arial" w:hAnsi="Arial" w:cs="Arial"/>
          <w:sz w:val="22"/>
          <w:szCs w:val="22"/>
          <w:lang w:val="pt-BR"/>
        </w:rPr>
        <w:t>A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lmirante de </w:t>
      </w:r>
      <w:r w:rsidR="009B70C1" w:rsidRPr="00304A29">
        <w:rPr>
          <w:rFonts w:ascii="Arial" w:hAnsi="Arial" w:cs="Arial"/>
          <w:sz w:val="22"/>
          <w:szCs w:val="22"/>
          <w:lang w:val="pt-BR"/>
        </w:rPr>
        <w:t>O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liveira </w:t>
      </w:r>
      <w:r w:rsidR="009B70C1" w:rsidRPr="00304A29">
        <w:rPr>
          <w:rFonts w:ascii="Arial" w:hAnsi="Arial" w:cs="Arial"/>
          <w:sz w:val="22"/>
          <w:szCs w:val="22"/>
          <w:lang w:val="pt-BR"/>
        </w:rPr>
        <w:t>S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antos </w:t>
      </w:r>
    </w:p>
    <w:p w:rsidR="00D205F7" w:rsidRPr="00304A29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ASSUNTO</w:t>
      </w:r>
      <w:r w:rsidRPr="00304A29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D205F7" w:rsidRPr="00304A29" w:rsidRDefault="00D205F7" w:rsidP="00D205F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A94F14" w:rsidRPr="00304A29" w:rsidRDefault="00A94F14" w:rsidP="00B5780B">
      <w:pPr>
        <w:tabs>
          <w:tab w:val="left" w:pos="8647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304A29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304A29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 xml:space="preserve">À </w:t>
      </w:r>
    </w:p>
    <w:p w:rsidR="00C9510E" w:rsidRPr="00304A29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304A29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304A29">
        <w:rPr>
          <w:rFonts w:ascii="Arial" w:hAnsi="Arial" w:cs="Arial"/>
          <w:b/>
          <w:sz w:val="22"/>
          <w:szCs w:val="22"/>
          <w:lang w:val="pt-BR"/>
        </w:rPr>
        <w:t>Delegacia Geral da Polícia Civil,</w:t>
      </w:r>
    </w:p>
    <w:p w:rsidR="00C9510E" w:rsidRPr="00304A29" w:rsidRDefault="00C9510E" w:rsidP="00C9510E">
      <w:pPr>
        <w:ind w:left="3544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C9510E" w:rsidRPr="00304A29" w:rsidRDefault="00C9510E" w:rsidP="00C9510E">
      <w:pPr>
        <w:ind w:left="3544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Pr="00304A29" w:rsidRDefault="00C9510E" w:rsidP="00304A29">
      <w:pPr>
        <w:spacing w:line="360" w:lineRule="auto"/>
        <w:ind w:left="3538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>Vão os autos para informação da dotação orçamentár</w:t>
      </w:r>
      <w:r w:rsidR="00D205F7" w:rsidRPr="00304A29">
        <w:rPr>
          <w:rFonts w:ascii="Arial" w:hAnsi="Arial" w:cs="Arial"/>
          <w:sz w:val="22"/>
          <w:szCs w:val="22"/>
          <w:lang w:val="pt-BR"/>
        </w:rPr>
        <w:t xml:space="preserve">ia, 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posteriormente encaminhar à </w:t>
      </w:r>
      <w:r w:rsidRPr="00304A29">
        <w:rPr>
          <w:rFonts w:ascii="Arial" w:hAnsi="Arial" w:cs="Arial"/>
          <w:b/>
          <w:sz w:val="22"/>
          <w:szCs w:val="22"/>
          <w:lang w:val="pt-BR"/>
        </w:rPr>
        <w:t>SEPLAG</w:t>
      </w:r>
      <w:r w:rsidRPr="00304A29">
        <w:rPr>
          <w:rFonts w:ascii="Arial" w:hAnsi="Arial" w:cs="Arial"/>
          <w:sz w:val="22"/>
          <w:szCs w:val="22"/>
          <w:lang w:val="pt-BR"/>
        </w:rPr>
        <w:t>, para providências, nos termos do Despacho desta CGE – fls.</w:t>
      </w:r>
      <w:r w:rsidR="00D205F7" w:rsidRPr="00304A29">
        <w:rPr>
          <w:rFonts w:ascii="Arial" w:hAnsi="Arial" w:cs="Arial"/>
          <w:sz w:val="22"/>
          <w:szCs w:val="22"/>
          <w:lang w:val="pt-BR"/>
        </w:rPr>
        <w:t xml:space="preserve"> 50 e 51</w:t>
      </w:r>
      <w:r w:rsidRPr="00304A29">
        <w:rPr>
          <w:rFonts w:ascii="Arial" w:hAnsi="Arial" w:cs="Arial"/>
          <w:sz w:val="22"/>
          <w:szCs w:val="22"/>
          <w:lang w:val="pt-BR"/>
        </w:rPr>
        <w:t xml:space="preserve"> do presente processo.</w:t>
      </w:r>
    </w:p>
    <w:p w:rsidR="00A777D5" w:rsidRPr="00304A29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            </w:t>
      </w:r>
    </w:p>
    <w:p w:rsidR="00A777D5" w:rsidRPr="00304A29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                      </w:t>
      </w:r>
    </w:p>
    <w:p w:rsidR="00B5780B" w:rsidRPr="00304A29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5C7F12" w:rsidRPr="00304A29">
        <w:rPr>
          <w:rFonts w:ascii="Arial" w:hAnsi="Arial" w:cs="Arial"/>
          <w:sz w:val="22"/>
          <w:szCs w:val="22"/>
          <w:lang w:val="pt-BR"/>
        </w:rPr>
        <w:t>Maceió/AL, 26</w:t>
      </w:r>
      <w:r w:rsidR="00B5780B" w:rsidRPr="00304A29">
        <w:rPr>
          <w:rFonts w:ascii="Arial" w:hAnsi="Arial" w:cs="Arial"/>
          <w:sz w:val="22"/>
          <w:szCs w:val="22"/>
          <w:lang w:val="pt-BR"/>
        </w:rPr>
        <w:t xml:space="preserve"> de abril de 2017.</w:t>
      </w:r>
    </w:p>
    <w:p w:rsidR="00B5780B" w:rsidRPr="00304A29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B5780B" w:rsidP="00B5780B">
      <w:pPr>
        <w:ind w:left="3969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304A29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304A29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304A29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304A29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Pr="00304A29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B5780B" w:rsidRPr="00304A29" w:rsidSect="006344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162" w:rsidRDefault="00DF4162" w:rsidP="0016418A">
      <w:r>
        <w:separator/>
      </w:r>
    </w:p>
  </w:endnote>
  <w:endnote w:type="continuationSeparator" w:id="1">
    <w:p w:rsidR="00DF4162" w:rsidRDefault="00DF416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C1" w:rsidRDefault="009B70C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C1" w:rsidRDefault="009B70C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C1" w:rsidRDefault="009B70C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162" w:rsidRDefault="00DF4162" w:rsidP="0016418A">
      <w:r>
        <w:separator/>
      </w:r>
    </w:p>
  </w:footnote>
  <w:footnote w:type="continuationSeparator" w:id="1">
    <w:p w:rsidR="00DF4162" w:rsidRDefault="00DF416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C1" w:rsidRDefault="009B70C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9B70C1" w:rsidRDefault="009B70C1" w:rsidP="009B70C1">
    <w:pPr>
      <w:pStyle w:val="Cabealho"/>
    </w:pPr>
  </w:p>
  <w:p w:rsidR="009B70C1" w:rsidRDefault="009B70C1" w:rsidP="009B70C1">
    <w:pPr>
      <w:pStyle w:val="Cabealho"/>
    </w:pPr>
  </w:p>
  <w:p w:rsidR="009B70C1" w:rsidRPr="0016418A" w:rsidRDefault="009B70C1" w:rsidP="009B70C1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B70C1" w:rsidRPr="0016418A" w:rsidRDefault="009B70C1" w:rsidP="009B70C1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B70C1" w:rsidRDefault="009B70C1" w:rsidP="009B70C1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9B70C1" w:rsidRPr="0016418A" w:rsidRDefault="009B70C1" w:rsidP="009B70C1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9B70C1" w:rsidRDefault="009B70C1" w:rsidP="009B70C1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17882" w:rsidRDefault="00017882" w:rsidP="009B70C1">
    <w:pPr>
      <w:pStyle w:val="Cabealho"/>
      <w:spacing w:after="100" w:afterAutospacing="1"/>
      <w:contextualSpacing/>
      <w:jc w:val="center"/>
      <w:rPr>
        <w:sz w:val="17"/>
        <w:szCs w:val="17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C1" w:rsidRDefault="009B70C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2909"/>
    <w:rsid w:val="00013879"/>
    <w:rsid w:val="00016627"/>
    <w:rsid w:val="000171A9"/>
    <w:rsid w:val="00017882"/>
    <w:rsid w:val="00033605"/>
    <w:rsid w:val="0003368C"/>
    <w:rsid w:val="00033EB8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00C30"/>
    <w:rsid w:val="001135A4"/>
    <w:rsid w:val="0012159E"/>
    <w:rsid w:val="00127056"/>
    <w:rsid w:val="0013017B"/>
    <w:rsid w:val="00130447"/>
    <w:rsid w:val="001357C0"/>
    <w:rsid w:val="00145D0B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E6A52"/>
    <w:rsid w:val="002F7346"/>
    <w:rsid w:val="00302B90"/>
    <w:rsid w:val="00304A29"/>
    <w:rsid w:val="00306F12"/>
    <w:rsid w:val="00310935"/>
    <w:rsid w:val="003276C2"/>
    <w:rsid w:val="0033464E"/>
    <w:rsid w:val="003348D5"/>
    <w:rsid w:val="00334E73"/>
    <w:rsid w:val="003352DA"/>
    <w:rsid w:val="00335526"/>
    <w:rsid w:val="00354750"/>
    <w:rsid w:val="003576B6"/>
    <w:rsid w:val="003579C0"/>
    <w:rsid w:val="00360F31"/>
    <w:rsid w:val="00361034"/>
    <w:rsid w:val="00362F1B"/>
    <w:rsid w:val="00366660"/>
    <w:rsid w:val="00367D80"/>
    <w:rsid w:val="003730BD"/>
    <w:rsid w:val="00373407"/>
    <w:rsid w:val="00374081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0C64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3D5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56EB2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E62EB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088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269"/>
    <w:rsid w:val="007E35AF"/>
    <w:rsid w:val="007F1365"/>
    <w:rsid w:val="007F2280"/>
    <w:rsid w:val="007F3694"/>
    <w:rsid w:val="007F5012"/>
    <w:rsid w:val="007F757C"/>
    <w:rsid w:val="00800B6D"/>
    <w:rsid w:val="00804401"/>
    <w:rsid w:val="00812005"/>
    <w:rsid w:val="00816E0F"/>
    <w:rsid w:val="00826E5A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B70C1"/>
    <w:rsid w:val="009C0AB2"/>
    <w:rsid w:val="009C1EF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079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60C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76C86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700"/>
    <w:rsid w:val="00C02CB6"/>
    <w:rsid w:val="00C07CE6"/>
    <w:rsid w:val="00C27EE9"/>
    <w:rsid w:val="00C31096"/>
    <w:rsid w:val="00C33111"/>
    <w:rsid w:val="00C361E3"/>
    <w:rsid w:val="00C46666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463"/>
    <w:rsid w:val="00CF0A9B"/>
    <w:rsid w:val="00CF13D5"/>
    <w:rsid w:val="00CF32D7"/>
    <w:rsid w:val="00CF4320"/>
    <w:rsid w:val="00CF6505"/>
    <w:rsid w:val="00D0215E"/>
    <w:rsid w:val="00D047C9"/>
    <w:rsid w:val="00D061B0"/>
    <w:rsid w:val="00D1506B"/>
    <w:rsid w:val="00D153F5"/>
    <w:rsid w:val="00D205F7"/>
    <w:rsid w:val="00D31B5A"/>
    <w:rsid w:val="00D32201"/>
    <w:rsid w:val="00D358F0"/>
    <w:rsid w:val="00D42060"/>
    <w:rsid w:val="00D517CC"/>
    <w:rsid w:val="00D53A1F"/>
    <w:rsid w:val="00D62B3D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09AA"/>
    <w:rsid w:val="00DF4162"/>
    <w:rsid w:val="00DF43ED"/>
    <w:rsid w:val="00E05C7C"/>
    <w:rsid w:val="00E11869"/>
    <w:rsid w:val="00E1287C"/>
    <w:rsid w:val="00E2297C"/>
    <w:rsid w:val="00E22EA1"/>
    <w:rsid w:val="00E2318C"/>
    <w:rsid w:val="00E4241F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08D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639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4</cp:revision>
  <cp:lastPrinted>2017-04-20T15:09:00Z</cp:lastPrinted>
  <dcterms:created xsi:type="dcterms:W3CDTF">2017-06-12T15:36:00Z</dcterms:created>
  <dcterms:modified xsi:type="dcterms:W3CDTF">2017-06-12T15:45:00Z</dcterms:modified>
</cp:coreProperties>
</file>