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419" w:rsidRPr="00C7371C" w:rsidRDefault="00BD7419" w:rsidP="00BD7419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Processo nº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:   </w:t>
      </w:r>
      <w:r w:rsidR="00ED5F3C">
        <w:rPr>
          <w:rFonts w:asciiTheme="minorHAnsi" w:eastAsia="Times New Roman" w:hAnsiTheme="minorHAnsi" w:cstheme="minorHAnsi"/>
          <w:color w:val="000000"/>
          <w:lang w:eastAsia="pt-BR"/>
        </w:rPr>
        <w:t>1104-</w:t>
      </w:r>
      <w:r w:rsidR="00E54059">
        <w:rPr>
          <w:rFonts w:asciiTheme="minorHAnsi" w:eastAsia="Times New Roman" w:hAnsiTheme="minorHAnsi" w:cstheme="minorHAnsi"/>
          <w:color w:val="000000"/>
          <w:lang w:eastAsia="pt-BR"/>
        </w:rPr>
        <w:t>0051/2017</w:t>
      </w:r>
    </w:p>
    <w:p w:rsidR="00BD7419" w:rsidRPr="00C7371C" w:rsidRDefault="00BD7419" w:rsidP="00BD7419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Interessado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:  </w:t>
      </w:r>
      <w:r w:rsidR="007C3F03">
        <w:rPr>
          <w:rFonts w:asciiTheme="minorHAnsi" w:eastAsia="Times New Roman" w:hAnsiTheme="minorHAnsi" w:cstheme="minorHAnsi"/>
          <w:color w:val="000000"/>
          <w:lang w:eastAsia="pt-BR"/>
        </w:rPr>
        <w:t>CGE – Serviço de Informação ao Cidadão</w:t>
      </w:r>
    </w:p>
    <w:p w:rsidR="00BD7419" w:rsidRDefault="00BD7419" w:rsidP="00BD7419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7C3F03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Assunto</w:t>
      </w:r>
      <w:r w:rsidR="006C2BFC" w:rsidRPr="007C3F03">
        <w:rPr>
          <w:rFonts w:asciiTheme="minorHAnsi" w:eastAsia="Times New Roman" w:hAnsiTheme="minorHAnsi" w:cstheme="minorHAnsi"/>
          <w:b/>
          <w:color w:val="000000"/>
          <w:lang w:eastAsia="pt-BR"/>
        </w:rPr>
        <w:t>:</w:t>
      </w:r>
      <w:r w:rsidR="006C2BFC">
        <w:rPr>
          <w:rFonts w:asciiTheme="minorHAnsi" w:eastAsia="Times New Roman" w:hAnsiTheme="minorHAnsi" w:cstheme="minorHAnsi"/>
          <w:color w:val="000000"/>
          <w:lang w:eastAsia="pt-BR"/>
        </w:rPr>
        <w:t>   </w:t>
      </w:r>
      <w:r>
        <w:rPr>
          <w:rFonts w:asciiTheme="minorHAnsi" w:eastAsia="Times New Roman" w:hAnsiTheme="minorHAnsi" w:cstheme="minorHAnsi"/>
          <w:color w:val="000000"/>
          <w:lang w:eastAsia="pt-BR"/>
        </w:rPr>
        <w:t>Lei de Acesso à Informação.</w:t>
      </w:r>
    </w:p>
    <w:p w:rsidR="007C3F03" w:rsidRPr="007C3F03" w:rsidRDefault="007C3F03" w:rsidP="00BD7419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7C3F03">
        <w:rPr>
          <w:rFonts w:asciiTheme="minorHAnsi" w:eastAsia="Times New Roman" w:hAnsiTheme="minorHAnsi" w:cstheme="minorHAnsi"/>
          <w:b/>
          <w:color w:val="000000"/>
          <w:lang w:eastAsia="pt-BR"/>
        </w:rPr>
        <w:t>Detalhes:</w:t>
      </w:r>
      <w:r>
        <w:rPr>
          <w:rFonts w:asciiTheme="minorHAnsi" w:eastAsia="Times New Roman" w:hAnsiTheme="minorHAnsi" w:cstheme="minorHAnsi"/>
          <w:b/>
          <w:color w:val="000000"/>
          <w:lang w:eastAsia="pt-BR"/>
        </w:rPr>
        <w:t xml:space="preserve"> </w:t>
      </w:r>
      <w:r>
        <w:rPr>
          <w:rFonts w:asciiTheme="minorHAnsi" w:eastAsia="Times New Roman" w:hAnsiTheme="minorHAnsi" w:cstheme="minorHAnsi"/>
          <w:color w:val="000000"/>
          <w:lang w:eastAsia="pt-BR"/>
        </w:rPr>
        <w:t>ALISON ARTHUR SILVA, SISTEMA E-SIC, PROTOC.</w:t>
      </w:r>
      <w:r w:rsidR="00E54059"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  <w:r>
        <w:rPr>
          <w:rFonts w:asciiTheme="minorHAnsi" w:eastAsia="Times New Roman" w:hAnsiTheme="minorHAnsi" w:cstheme="minorHAnsi"/>
          <w:color w:val="000000"/>
          <w:lang w:eastAsia="pt-BR"/>
        </w:rPr>
        <w:t>Nº 1</w:t>
      </w:r>
      <w:r w:rsidR="00E54059">
        <w:rPr>
          <w:rFonts w:asciiTheme="minorHAnsi" w:eastAsia="Times New Roman" w:hAnsiTheme="minorHAnsi" w:cstheme="minorHAnsi"/>
          <w:color w:val="000000"/>
          <w:lang w:eastAsia="pt-BR"/>
        </w:rPr>
        <w:t>27/2017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 – </w:t>
      </w:r>
      <w:r w:rsidR="00E54059">
        <w:rPr>
          <w:rFonts w:asciiTheme="minorHAnsi" w:eastAsia="Times New Roman" w:hAnsiTheme="minorHAnsi" w:cstheme="minorHAnsi"/>
          <w:color w:val="000000"/>
          <w:lang w:eastAsia="pt-BR"/>
        </w:rPr>
        <w:t>SOLICITAÇÃO DE PROVIDÊNCIAS</w:t>
      </w:r>
      <w:r w:rsidR="00ED5F3C">
        <w:rPr>
          <w:rFonts w:asciiTheme="minorHAnsi" w:eastAsia="Times New Roman" w:hAnsiTheme="minorHAnsi" w:cstheme="minorHAnsi"/>
          <w:color w:val="000000"/>
          <w:lang w:eastAsia="pt-BR"/>
        </w:rPr>
        <w:t>.</w:t>
      </w:r>
    </w:p>
    <w:p w:rsidR="00BD7419" w:rsidRPr="00C7371C" w:rsidRDefault="00BD7419" w:rsidP="00BD7419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</w:p>
    <w:p w:rsidR="00BD7419" w:rsidRPr="00C7371C" w:rsidRDefault="00BD7419" w:rsidP="00BD7419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DESPACHO</w:t>
      </w:r>
    </w:p>
    <w:p w:rsidR="00ED5F3C" w:rsidRDefault="00ED5F3C" w:rsidP="006C2BFC">
      <w:pPr>
        <w:tabs>
          <w:tab w:val="left" w:pos="851"/>
          <w:tab w:val="left" w:pos="993"/>
          <w:tab w:val="left" w:pos="3686"/>
        </w:tabs>
        <w:ind w:firstLine="709"/>
        <w:jc w:val="both"/>
        <w:rPr>
          <w:rFonts w:asciiTheme="minorHAnsi" w:hAnsiTheme="minorHAnsi" w:cstheme="minorHAnsi"/>
          <w:b/>
          <w:lang w:eastAsia="pt-BR"/>
        </w:rPr>
      </w:pPr>
    </w:p>
    <w:p w:rsidR="00BD7419" w:rsidRPr="00ED5F3C" w:rsidRDefault="00BD7419" w:rsidP="006C2BFC">
      <w:pPr>
        <w:tabs>
          <w:tab w:val="left" w:pos="851"/>
          <w:tab w:val="left" w:pos="993"/>
          <w:tab w:val="left" w:pos="3686"/>
        </w:tabs>
        <w:ind w:firstLine="709"/>
        <w:jc w:val="both"/>
        <w:rPr>
          <w:rFonts w:asciiTheme="minorHAnsi" w:hAnsiTheme="minorHAnsi" w:cstheme="minorHAnsi"/>
          <w:b/>
          <w:lang w:eastAsia="pt-BR"/>
        </w:rPr>
      </w:pPr>
      <w:r w:rsidRPr="00ED5F3C">
        <w:rPr>
          <w:rFonts w:asciiTheme="minorHAnsi" w:hAnsiTheme="minorHAnsi" w:cstheme="minorHAnsi"/>
          <w:b/>
          <w:lang w:eastAsia="pt-BR"/>
        </w:rPr>
        <w:t xml:space="preserve">Ao </w:t>
      </w:r>
      <w:r w:rsidR="00ED5F3C">
        <w:rPr>
          <w:rFonts w:asciiTheme="minorHAnsi" w:hAnsiTheme="minorHAnsi" w:cstheme="minorHAnsi"/>
          <w:b/>
          <w:lang w:eastAsia="pt-BR"/>
        </w:rPr>
        <w:t>Gabinete da Controladora Geral do Estado</w:t>
      </w:r>
      <w:r w:rsidRPr="00ED5F3C">
        <w:rPr>
          <w:rFonts w:asciiTheme="minorHAnsi" w:hAnsiTheme="minorHAnsi" w:cstheme="minorHAnsi"/>
          <w:b/>
          <w:lang w:eastAsia="pt-BR"/>
        </w:rPr>
        <w:t xml:space="preserve">, </w:t>
      </w:r>
    </w:p>
    <w:p w:rsidR="00E54059" w:rsidRDefault="007C3F03" w:rsidP="006C2BFC">
      <w:pPr>
        <w:tabs>
          <w:tab w:val="left" w:pos="3686"/>
        </w:tabs>
        <w:ind w:firstLine="709"/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Em atendimento ao Sr</w:t>
      </w:r>
      <w:r w:rsidR="00ED5F3C">
        <w:rPr>
          <w:rFonts w:asciiTheme="minorHAnsi" w:hAnsiTheme="minorHAnsi" w:cstheme="minorHAnsi"/>
          <w:lang w:eastAsia="pt-BR"/>
        </w:rPr>
        <w:t>.</w:t>
      </w:r>
      <w:r>
        <w:rPr>
          <w:rFonts w:asciiTheme="minorHAnsi" w:hAnsiTheme="minorHAnsi" w:cstheme="minorHAnsi"/>
          <w:lang w:eastAsia="pt-BR"/>
        </w:rPr>
        <w:t xml:space="preserve"> </w:t>
      </w:r>
      <w:proofErr w:type="spellStart"/>
      <w:r>
        <w:rPr>
          <w:rFonts w:asciiTheme="minorHAnsi" w:hAnsiTheme="minorHAnsi" w:cstheme="minorHAnsi"/>
          <w:lang w:eastAsia="pt-BR"/>
        </w:rPr>
        <w:t>Alison</w:t>
      </w:r>
      <w:proofErr w:type="spellEnd"/>
      <w:r>
        <w:rPr>
          <w:rFonts w:asciiTheme="minorHAnsi" w:hAnsiTheme="minorHAnsi" w:cstheme="minorHAnsi"/>
          <w:lang w:eastAsia="pt-BR"/>
        </w:rPr>
        <w:t xml:space="preserve"> Arthur Silva, conforme solicitação: </w:t>
      </w:r>
    </w:p>
    <w:p w:rsidR="007C3F03" w:rsidRPr="00DE6669" w:rsidRDefault="00E54059" w:rsidP="00DE6669">
      <w:pPr>
        <w:tabs>
          <w:tab w:val="left" w:pos="3686"/>
        </w:tabs>
        <w:spacing w:after="0" w:line="240" w:lineRule="auto"/>
        <w:ind w:left="709"/>
        <w:jc w:val="both"/>
        <w:rPr>
          <w:rFonts w:asciiTheme="minorHAnsi" w:hAnsiTheme="minorHAnsi" w:cstheme="minorHAnsi"/>
          <w:b/>
          <w:i/>
          <w:sz w:val="20"/>
          <w:szCs w:val="20"/>
          <w:lang w:eastAsia="pt-BR"/>
        </w:rPr>
      </w:pPr>
      <w:r w:rsidRPr="00DE6669">
        <w:rPr>
          <w:rFonts w:asciiTheme="minorHAnsi" w:hAnsiTheme="minorHAnsi" w:cstheme="minorHAnsi"/>
          <w:b/>
          <w:i/>
          <w:color w:val="000000" w:themeColor="text1"/>
          <w:sz w:val="20"/>
          <w:szCs w:val="20"/>
          <w:lang w:eastAsia="pt-BR"/>
        </w:rPr>
        <w:t>Gostaria de solicitar que me dessem o conhecimento de quais são as informações obrigatórias que devem ser fornecidas pelos órgãos estaduais a CGE para a realização do controle, e para o cumprimento de suas funções, e como se dá esse recebimento de informações, se por meio de algum sistema informatizado ou por outro meio.</w:t>
      </w:r>
      <w:r w:rsidRPr="00DE6669">
        <w:rPr>
          <w:rFonts w:asciiTheme="minorHAnsi" w:hAnsiTheme="minorHAnsi" w:cstheme="minorHAnsi"/>
          <w:color w:val="000000" w:themeColor="text1"/>
          <w:sz w:val="20"/>
          <w:szCs w:val="20"/>
          <w:lang w:eastAsia="pt-BR"/>
        </w:rPr>
        <w:t xml:space="preserve"> (Grifo nosso)</w:t>
      </w:r>
    </w:p>
    <w:p w:rsidR="00DE6669" w:rsidRDefault="00DE6669" w:rsidP="000F21B6">
      <w:pPr>
        <w:tabs>
          <w:tab w:val="left" w:pos="3686"/>
        </w:tabs>
        <w:ind w:firstLine="709"/>
        <w:jc w:val="both"/>
        <w:rPr>
          <w:rFonts w:asciiTheme="minorHAnsi" w:hAnsiTheme="minorHAnsi" w:cstheme="minorHAnsi"/>
          <w:lang w:eastAsia="pt-BR"/>
        </w:rPr>
      </w:pPr>
    </w:p>
    <w:p w:rsidR="00E912F0" w:rsidRDefault="00053735" w:rsidP="000F21B6">
      <w:pPr>
        <w:tabs>
          <w:tab w:val="left" w:pos="3686"/>
        </w:tabs>
        <w:ind w:firstLine="709"/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A Controladoria Geral do Estado tem o propósito de assessorar os órgãos e entidades que integram a Administração Direta e Indireta do Poder Executivo Estadual, para que exerçam suas atividades de acordo com os princípios da boa administração pública, em conformidade com os requisitos legais, máxima economicidade e materialidade, buscando a melhoria contínua dos serviços prestados.</w:t>
      </w:r>
    </w:p>
    <w:p w:rsidR="00053735" w:rsidRDefault="00053735" w:rsidP="000F21B6">
      <w:pPr>
        <w:tabs>
          <w:tab w:val="left" w:pos="3686"/>
        </w:tabs>
        <w:ind w:firstLine="709"/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No exercício de sua missão institucional, a CGE/AL coordena o Sistema de Controle Interno e Transparência, conforme determinação da Lei Delegada nº 47, de 10.08.2015, nos termos da transcrição abaixo.</w:t>
      </w:r>
    </w:p>
    <w:p w:rsidR="00DE6669" w:rsidRPr="00DE6669" w:rsidRDefault="00DE6669" w:rsidP="00053735">
      <w:pPr>
        <w:tabs>
          <w:tab w:val="left" w:pos="3686"/>
        </w:tabs>
        <w:spacing w:after="0" w:line="240" w:lineRule="auto"/>
        <w:ind w:left="2268"/>
        <w:jc w:val="both"/>
        <w:rPr>
          <w:i/>
          <w:sz w:val="20"/>
          <w:szCs w:val="20"/>
        </w:rPr>
      </w:pPr>
      <w:r w:rsidRPr="00DE6669">
        <w:rPr>
          <w:i/>
          <w:sz w:val="20"/>
          <w:szCs w:val="20"/>
        </w:rPr>
        <w:t>Art. 10. O Poder Executivo adotará o modelo da transversalidade, com ênfase nas diretrizes estratégicas do Governo, e atuará na gestão sistêmica de programas, projetos e processos, por intermédio da integração das seguintes redes temáticas:</w:t>
      </w:r>
    </w:p>
    <w:p w:rsidR="00DE6669" w:rsidRPr="00DE6669" w:rsidRDefault="00DE6669" w:rsidP="00053735">
      <w:pPr>
        <w:tabs>
          <w:tab w:val="left" w:pos="3686"/>
        </w:tabs>
        <w:spacing w:after="0" w:line="240" w:lineRule="auto"/>
        <w:ind w:left="2268"/>
        <w:jc w:val="both"/>
        <w:rPr>
          <w:i/>
          <w:sz w:val="20"/>
          <w:szCs w:val="20"/>
        </w:rPr>
      </w:pPr>
      <w:r w:rsidRPr="00DE6669">
        <w:rPr>
          <w:i/>
          <w:sz w:val="20"/>
          <w:szCs w:val="20"/>
        </w:rPr>
        <w:t>I – Rede Integrada de Governança:</w:t>
      </w:r>
    </w:p>
    <w:p w:rsidR="00DE6669" w:rsidRPr="00DE6669" w:rsidRDefault="00DE6669" w:rsidP="00053735">
      <w:pPr>
        <w:tabs>
          <w:tab w:val="left" w:pos="3686"/>
        </w:tabs>
        <w:spacing w:after="0" w:line="240" w:lineRule="auto"/>
        <w:ind w:left="2268"/>
        <w:jc w:val="both"/>
        <w:rPr>
          <w:i/>
          <w:sz w:val="20"/>
          <w:szCs w:val="20"/>
        </w:rPr>
      </w:pPr>
      <w:r w:rsidRPr="00DE6669">
        <w:rPr>
          <w:i/>
          <w:sz w:val="20"/>
          <w:szCs w:val="20"/>
        </w:rPr>
        <w:t>[...]</w:t>
      </w:r>
    </w:p>
    <w:p w:rsidR="00DE6669" w:rsidRDefault="00DE6669" w:rsidP="00053735">
      <w:pPr>
        <w:tabs>
          <w:tab w:val="left" w:pos="3686"/>
        </w:tabs>
        <w:ind w:left="2268"/>
        <w:jc w:val="both"/>
        <w:rPr>
          <w:i/>
          <w:sz w:val="20"/>
          <w:szCs w:val="20"/>
        </w:rPr>
      </w:pPr>
      <w:r w:rsidRPr="00DE6669">
        <w:rPr>
          <w:i/>
          <w:sz w:val="20"/>
          <w:szCs w:val="20"/>
        </w:rPr>
        <w:t>b) Sistema de Controle Interno e Transparência, coordenado pela Controladoria Geral do Estado;</w:t>
      </w:r>
    </w:p>
    <w:p w:rsidR="00DE6669" w:rsidRPr="00053735" w:rsidRDefault="00053735" w:rsidP="00053735">
      <w:pPr>
        <w:tabs>
          <w:tab w:val="left" w:pos="3686"/>
        </w:tabs>
        <w:ind w:firstLine="709"/>
        <w:jc w:val="both"/>
        <w:rPr>
          <w:i/>
        </w:rPr>
      </w:pPr>
      <w:r w:rsidRPr="00053735">
        <w:t xml:space="preserve">Nesse contexto, o Assessor Executivo da Transparência possui as seguintes atribuições: </w:t>
      </w:r>
      <w:r w:rsidR="00DE6669" w:rsidRPr="00053735">
        <w:rPr>
          <w:i/>
        </w:rPr>
        <w:t xml:space="preserve">Estabelecer, sob a coordenação do Secretário Executivo de Gestão Interna, estratégias facilitadoras de integração das ações pertinentes às linhas de Gestão Estratégica, Gestão de Estado e Gestão </w:t>
      </w:r>
      <w:proofErr w:type="spellStart"/>
      <w:r w:rsidR="00DE6669" w:rsidRPr="00053735">
        <w:rPr>
          <w:i/>
        </w:rPr>
        <w:t>Finalística</w:t>
      </w:r>
      <w:proofErr w:type="spellEnd"/>
      <w:r w:rsidR="00DE6669" w:rsidRPr="00053735">
        <w:rPr>
          <w:i/>
        </w:rPr>
        <w:t xml:space="preserve">, com o objetivo de estabelecer o controle interno; instituir mecanismos de auditoria interna, sob a coordenação da Controladoria Geral do Estado; </w:t>
      </w:r>
      <w:r w:rsidR="00DE6669" w:rsidRPr="00053735">
        <w:rPr>
          <w:i/>
        </w:rPr>
        <w:lastRenderedPageBreak/>
        <w:t>monitorar a avaliar a aplicação das políticas públicas de transparência; exercer outras atribuições correlatas</w:t>
      </w:r>
      <w:r w:rsidR="00DE6669" w:rsidRPr="00053735">
        <w:t>.</w:t>
      </w:r>
    </w:p>
    <w:p w:rsidR="00053735" w:rsidRDefault="00053735" w:rsidP="000F21B6">
      <w:pPr>
        <w:tabs>
          <w:tab w:val="left" w:pos="3686"/>
        </w:tabs>
        <w:ind w:firstLine="709"/>
        <w:jc w:val="both"/>
      </w:pPr>
      <w:r>
        <w:t xml:space="preserve">Com o objetivo de sistematizar e padronizar o trabalho a ser </w:t>
      </w:r>
      <w:proofErr w:type="gramStart"/>
      <w:r>
        <w:t>desenvolvido</w:t>
      </w:r>
      <w:proofErr w:type="gramEnd"/>
      <w:r>
        <w:t xml:space="preserve"> pelos Assessores Executivos de Transparência, a CGE/AL </w:t>
      </w:r>
      <w:r w:rsidR="00E912F0">
        <w:t>desenvolv</w:t>
      </w:r>
      <w:r>
        <w:t>eu</w:t>
      </w:r>
      <w:r w:rsidR="00E912F0">
        <w:t xml:space="preserve"> o Painel de Controle da </w:t>
      </w:r>
      <w:r>
        <w:t>T</w:t>
      </w:r>
      <w:r w:rsidR="00E912F0">
        <w:t xml:space="preserve">ransparência - PCT, ferramenta em planilha de Excel que irá monitorar os gastos da administração pública, </w:t>
      </w:r>
      <w:r>
        <w:t>o patrimônio e a transparência.</w:t>
      </w:r>
    </w:p>
    <w:p w:rsidR="00013ED3" w:rsidRDefault="00E912F0" w:rsidP="000F21B6">
      <w:pPr>
        <w:tabs>
          <w:tab w:val="left" w:pos="3686"/>
        </w:tabs>
        <w:ind w:firstLine="709"/>
        <w:jc w:val="both"/>
      </w:pPr>
      <w:r>
        <w:t>O PCT é dividido em três grupos</w:t>
      </w:r>
      <w:r w:rsidR="00053735">
        <w:t xml:space="preserve">: </w:t>
      </w:r>
      <w:r>
        <w:t xml:space="preserve">1) </w:t>
      </w:r>
      <w:r w:rsidR="00053735" w:rsidRPr="000E005F">
        <w:rPr>
          <w:b/>
        </w:rPr>
        <w:t>Finanças</w:t>
      </w:r>
      <w:r w:rsidR="00053735">
        <w:t xml:space="preserve"> - </w:t>
      </w:r>
      <w:r>
        <w:t>onde são feitos os controles de contratos, convênios, diárias, adiantamentos, receitas x despesas (fluxo de caixa), passagens a</w:t>
      </w:r>
      <w:r w:rsidR="00053735">
        <w:t>ére</w:t>
      </w:r>
      <w:r>
        <w:t>as, veículos, combustível e telefonia</w:t>
      </w:r>
      <w:r w:rsidR="00053735">
        <w:t xml:space="preserve">; </w:t>
      </w:r>
      <w:r>
        <w:t>2)</w:t>
      </w:r>
      <w:r w:rsidR="00013ED3">
        <w:t xml:space="preserve"> </w:t>
      </w:r>
      <w:r w:rsidR="00013ED3" w:rsidRPr="000E005F">
        <w:rPr>
          <w:b/>
        </w:rPr>
        <w:t>Patrimônio</w:t>
      </w:r>
      <w:r w:rsidR="00053735">
        <w:t xml:space="preserve"> - </w:t>
      </w:r>
      <w:r w:rsidR="00013ED3">
        <w:t>onde são feitos os controle do relatório de movimentação de bens – RMB (móveis e imóveis), relatório de movimentação de almoxarifado – RMA e tecnologia da informação</w:t>
      </w:r>
      <w:r w:rsidR="000E005F">
        <w:t xml:space="preserve">; </w:t>
      </w:r>
      <w:r w:rsidR="00013ED3">
        <w:t xml:space="preserve">3) </w:t>
      </w:r>
      <w:r w:rsidR="00013ED3" w:rsidRPr="000E005F">
        <w:rPr>
          <w:b/>
        </w:rPr>
        <w:t>Transparência</w:t>
      </w:r>
      <w:r w:rsidR="000E005F">
        <w:t xml:space="preserve"> – onde são processados o</w:t>
      </w:r>
      <w:r w:rsidR="00013ED3">
        <w:t xml:space="preserve">s controles da </w:t>
      </w:r>
      <w:r w:rsidR="000E005F">
        <w:t>L</w:t>
      </w:r>
      <w:r w:rsidR="00013ED3">
        <w:t xml:space="preserve">ei de </w:t>
      </w:r>
      <w:r w:rsidR="000E005F">
        <w:t>A</w:t>
      </w:r>
      <w:r w:rsidR="00013ED3">
        <w:t xml:space="preserve">cesso </w:t>
      </w:r>
      <w:r w:rsidR="000E005F">
        <w:t>à</w:t>
      </w:r>
      <w:r w:rsidR="00013ED3">
        <w:t xml:space="preserve"> </w:t>
      </w:r>
      <w:r w:rsidR="000E005F">
        <w:t>I</w:t>
      </w:r>
      <w:r w:rsidR="00013ED3">
        <w:t xml:space="preserve">nformação – LAI, </w:t>
      </w:r>
      <w:r w:rsidR="000E005F">
        <w:t xml:space="preserve">além de </w:t>
      </w:r>
      <w:r w:rsidR="00013ED3">
        <w:t>correição, penalidades disciplinares e obras.</w:t>
      </w:r>
    </w:p>
    <w:p w:rsidR="00810D70" w:rsidRDefault="000E005F" w:rsidP="00013ED3">
      <w:pPr>
        <w:tabs>
          <w:tab w:val="left" w:pos="3686"/>
        </w:tabs>
        <w:ind w:firstLine="709"/>
        <w:jc w:val="both"/>
      </w:pPr>
      <w:r>
        <w:t>Tais informações devem ser encaminhadas mensalmente pelos órgãos e entes do Poder Executivo Estaduais, através de e-mail institucional direcionado ao Assessor de Governança e Transparência da CGE/AL.</w:t>
      </w:r>
    </w:p>
    <w:p w:rsidR="00013ED3" w:rsidRDefault="000E005F" w:rsidP="00013ED3">
      <w:pPr>
        <w:tabs>
          <w:tab w:val="left" w:pos="3686"/>
        </w:tabs>
        <w:ind w:firstLine="709"/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Considerando </w:t>
      </w:r>
      <w:r w:rsidR="00013ED3">
        <w:rPr>
          <w:rFonts w:asciiTheme="minorHAnsi" w:hAnsiTheme="minorHAnsi" w:cstheme="minorHAnsi"/>
          <w:lang w:eastAsia="pt-BR"/>
        </w:rPr>
        <w:t>os argumentos apresentados</w:t>
      </w:r>
      <w:r>
        <w:rPr>
          <w:rFonts w:asciiTheme="minorHAnsi" w:hAnsiTheme="minorHAnsi" w:cstheme="minorHAnsi"/>
          <w:lang w:eastAsia="pt-BR"/>
        </w:rPr>
        <w:t>, colocamo-nos à disposição para quaisquer informações adicionais.</w:t>
      </w:r>
    </w:p>
    <w:p w:rsidR="000E005F" w:rsidRDefault="000E005F" w:rsidP="001F490E">
      <w:pPr>
        <w:tabs>
          <w:tab w:val="left" w:pos="3686"/>
        </w:tabs>
        <w:ind w:firstLine="709"/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Em tempo,</w:t>
      </w:r>
      <w:r w:rsidR="001F490E">
        <w:rPr>
          <w:rFonts w:asciiTheme="minorHAnsi" w:hAnsiTheme="minorHAnsi" w:cstheme="minorHAnsi"/>
          <w:lang w:eastAsia="pt-BR"/>
        </w:rPr>
        <w:t xml:space="preserve"> encaminho aos autos para ciência e pronunciamento da </w:t>
      </w:r>
      <w:r>
        <w:rPr>
          <w:rFonts w:asciiTheme="minorHAnsi" w:hAnsiTheme="minorHAnsi" w:cstheme="minorHAnsi"/>
          <w:lang w:eastAsia="pt-BR"/>
        </w:rPr>
        <w:t>Superintendência de Controle Financeiro – SUCOF acerca da questão ora apresentada, no sentido de informar sobre a necessidade de dados complementares.</w:t>
      </w:r>
    </w:p>
    <w:p w:rsidR="001F490E" w:rsidRDefault="001F490E" w:rsidP="001F490E">
      <w:pPr>
        <w:tabs>
          <w:tab w:val="left" w:pos="3686"/>
        </w:tabs>
        <w:ind w:firstLine="709"/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Após remeter ao gabinete da controladora.</w:t>
      </w:r>
    </w:p>
    <w:p w:rsidR="000E005F" w:rsidRDefault="000E005F" w:rsidP="00013ED3">
      <w:pPr>
        <w:tabs>
          <w:tab w:val="left" w:pos="3686"/>
        </w:tabs>
        <w:ind w:firstLine="709"/>
        <w:jc w:val="both"/>
        <w:rPr>
          <w:rFonts w:asciiTheme="minorHAnsi" w:hAnsiTheme="minorHAnsi" w:cstheme="minorHAnsi"/>
          <w:lang w:eastAsia="pt-BR"/>
        </w:rPr>
      </w:pPr>
    </w:p>
    <w:p w:rsidR="00BD7419" w:rsidRPr="00C7371C" w:rsidRDefault="00BD7419" w:rsidP="00BD7419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</w:t>
      </w:r>
      <w:r w:rsidR="00810D70">
        <w:rPr>
          <w:rFonts w:asciiTheme="minorHAnsi" w:hAnsiTheme="minorHAnsi" w:cstheme="minorHAnsi"/>
          <w:lang w:eastAsia="pt-BR"/>
        </w:rPr>
        <w:t>/AL</w:t>
      </w:r>
      <w:r w:rsidRPr="00C7371C">
        <w:rPr>
          <w:rFonts w:asciiTheme="minorHAnsi" w:hAnsiTheme="minorHAnsi" w:cstheme="minorHAnsi"/>
          <w:lang w:eastAsia="pt-BR"/>
        </w:rPr>
        <w:t>,</w:t>
      </w:r>
      <w:r>
        <w:rPr>
          <w:rFonts w:asciiTheme="minorHAnsi" w:hAnsiTheme="minorHAnsi" w:cstheme="minorHAnsi"/>
          <w:lang w:eastAsia="pt-BR"/>
        </w:rPr>
        <w:t xml:space="preserve"> </w:t>
      </w:r>
      <w:r w:rsidR="00013ED3">
        <w:rPr>
          <w:rFonts w:asciiTheme="minorHAnsi" w:hAnsiTheme="minorHAnsi" w:cstheme="minorHAnsi"/>
          <w:lang w:eastAsia="pt-BR"/>
        </w:rPr>
        <w:t>14</w:t>
      </w:r>
      <w:r w:rsidR="006C2BFC">
        <w:rPr>
          <w:rFonts w:asciiTheme="minorHAnsi" w:hAnsiTheme="minorHAnsi" w:cstheme="minorHAnsi"/>
          <w:lang w:eastAsia="pt-BR"/>
        </w:rPr>
        <w:t xml:space="preserve"> de </w:t>
      </w:r>
      <w:r w:rsidR="00013ED3">
        <w:rPr>
          <w:rFonts w:asciiTheme="minorHAnsi" w:hAnsiTheme="minorHAnsi" w:cstheme="minorHAnsi"/>
          <w:lang w:eastAsia="pt-BR"/>
        </w:rPr>
        <w:t>fevereiro</w:t>
      </w:r>
      <w:r w:rsidRPr="00C7371C">
        <w:rPr>
          <w:rFonts w:asciiTheme="minorHAnsi" w:hAnsiTheme="minorHAnsi" w:cstheme="minorHAnsi"/>
          <w:lang w:eastAsia="pt-BR"/>
        </w:rPr>
        <w:t xml:space="preserve"> de 201</w:t>
      </w:r>
      <w:r w:rsidR="007C0D8F">
        <w:rPr>
          <w:rFonts w:asciiTheme="minorHAnsi" w:hAnsiTheme="minorHAnsi" w:cstheme="minorHAnsi"/>
          <w:lang w:eastAsia="pt-BR"/>
        </w:rPr>
        <w:t>7</w:t>
      </w:r>
    </w:p>
    <w:p w:rsidR="00BD7419" w:rsidRPr="00C7371C" w:rsidRDefault="00BD7419" w:rsidP="00BD7419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D7419" w:rsidRPr="00C7371C" w:rsidRDefault="006C2BFC" w:rsidP="00BD7419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b/>
          <w:lang w:eastAsia="pt-BR"/>
        </w:rPr>
      </w:pPr>
      <w:r>
        <w:rPr>
          <w:rFonts w:asciiTheme="minorHAnsi" w:hAnsiTheme="minorHAnsi" w:cstheme="minorHAnsi"/>
          <w:b/>
          <w:lang w:eastAsia="pt-BR"/>
        </w:rPr>
        <w:t>Thiago Paiva Ferreira</w:t>
      </w:r>
    </w:p>
    <w:p w:rsidR="00BD7419" w:rsidRPr="00C7371C" w:rsidRDefault="006C2BFC" w:rsidP="00BD7419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Assessor de Governança e Transparência</w:t>
      </w:r>
    </w:p>
    <w:p w:rsidR="00BD7419" w:rsidRPr="00C7371C" w:rsidRDefault="00BD7419" w:rsidP="00BD7419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Controladoria Geral do Estado de Alagoas</w:t>
      </w:r>
    </w:p>
    <w:sectPr w:rsidR="00BD7419" w:rsidRPr="00C7371C" w:rsidSect="003A4CD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84C" w:rsidRDefault="002F784C" w:rsidP="00BD7419">
      <w:pPr>
        <w:spacing w:after="0" w:line="240" w:lineRule="auto"/>
      </w:pPr>
      <w:r>
        <w:separator/>
      </w:r>
    </w:p>
  </w:endnote>
  <w:endnote w:type="continuationSeparator" w:id="1">
    <w:p w:rsidR="002F784C" w:rsidRDefault="002F784C" w:rsidP="00BD7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84C" w:rsidRDefault="002F784C" w:rsidP="00BD7419">
      <w:pPr>
        <w:spacing w:after="0" w:line="240" w:lineRule="auto"/>
      </w:pPr>
      <w:r>
        <w:separator/>
      </w:r>
    </w:p>
  </w:footnote>
  <w:footnote w:type="continuationSeparator" w:id="1">
    <w:p w:rsidR="002F784C" w:rsidRDefault="002F784C" w:rsidP="00BD7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419" w:rsidRDefault="00BD7419" w:rsidP="00BD74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2367915</wp:posOffset>
          </wp:positionH>
          <wp:positionV relativeFrom="paragraph">
            <wp:posOffset>-144780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D7419" w:rsidRDefault="00BD7419" w:rsidP="00BD7419">
    <w:pPr>
      <w:pStyle w:val="Cabealho"/>
    </w:pPr>
    <w:r w:rsidRPr="00BD7419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5577840</wp:posOffset>
          </wp:positionH>
          <wp:positionV relativeFrom="paragraph">
            <wp:posOffset>9199880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8063" cy="6920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D7419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-708660</wp:posOffset>
          </wp:positionH>
          <wp:positionV relativeFrom="paragraph">
            <wp:posOffset>9190355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373505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D7419" w:rsidRDefault="00BD7419" w:rsidP="00BD7419">
    <w:pPr>
      <w:pStyle w:val="Cabealho"/>
    </w:pPr>
  </w:p>
  <w:p w:rsidR="00BD7419" w:rsidRPr="0016418A" w:rsidRDefault="00BD7419" w:rsidP="00BD7419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D7419" w:rsidRPr="0016418A" w:rsidRDefault="00BD7419" w:rsidP="00BD7419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D7419" w:rsidRPr="000934EB" w:rsidRDefault="00BD7419" w:rsidP="00BD7419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BD7419" w:rsidRPr="0016418A" w:rsidRDefault="00BD7419" w:rsidP="00BD7419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BD7419" w:rsidRDefault="00BD741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F5691"/>
    <w:multiLevelType w:val="hybridMultilevel"/>
    <w:tmpl w:val="5CD8451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7419"/>
    <w:rsid w:val="0000138C"/>
    <w:rsid w:val="0000380B"/>
    <w:rsid w:val="00013ED3"/>
    <w:rsid w:val="000502AD"/>
    <w:rsid w:val="00053735"/>
    <w:rsid w:val="00093539"/>
    <w:rsid w:val="000E005F"/>
    <w:rsid w:val="000F21B6"/>
    <w:rsid w:val="0012078E"/>
    <w:rsid w:val="00140357"/>
    <w:rsid w:val="00176C65"/>
    <w:rsid w:val="00197353"/>
    <w:rsid w:val="001D6F3B"/>
    <w:rsid w:val="001F0D1C"/>
    <w:rsid w:val="001F490E"/>
    <w:rsid w:val="00281198"/>
    <w:rsid w:val="002F784C"/>
    <w:rsid w:val="003A4CD0"/>
    <w:rsid w:val="004107C9"/>
    <w:rsid w:val="004717C7"/>
    <w:rsid w:val="004732C5"/>
    <w:rsid w:val="004767D2"/>
    <w:rsid w:val="005521FD"/>
    <w:rsid w:val="00591845"/>
    <w:rsid w:val="005C3CF7"/>
    <w:rsid w:val="0060492A"/>
    <w:rsid w:val="006347FF"/>
    <w:rsid w:val="0063690C"/>
    <w:rsid w:val="00644AAB"/>
    <w:rsid w:val="006C1331"/>
    <w:rsid w:val="006C2BFC"/>
    <w:rsid w:val="0072630C"/>
    <w:rsid w:val="00765D9B"/>
    <w:rsid w:val="007C0D8F"/>
    <w:rsid w:val="007C3F03"/>
    <w:rsid w:val="007E4387"/>
    <w:rsid w:val="007F255B"/>
    <w:rsid w:val="008011D0"/>
    <w:rsid w:val="008053F4"/>
    <w:rsid w:val="00810D70"/>
    <w:rsid w:val="00851D85"/>
    <w:rsid w:val="00873F5F"/>
    <w:rsid w:val="00945229"/>
    <w:rsid w:val="00963698"/>
    <w:rsid w:val="009B417D"/>
    <w:rsid w:val="00A90850"/>
    <w:rsid w:val="00B06DF6"/>
    <w:rsid w:val="00B1649F"/>
    <w:rsid w:val="00B635AF"/>
    <w:rsid w:val="00BB0578"/>
    <w:rsid w:val="00BD7419"/>
    <w:rsid w:val="00C9183F"/>
    <w:rsid w:val="00CB18D6"/>
    <w:rsid w:val="00CB553A"/>
    <w:rsid w:val="00CB5A91"/>
    <w:rsid w:val="00D2604A"/>
    <w:rsid w:val="00D539C8"/>
    <w:rsid w:val="00D77E09"/>
    <w:rsid w:val="00DD0768"/>
    <w:rsid w:val="00DE52CE"/>
    <w:rsid w:val="00DE6669"/>
    <w:rsid w:val="00E11531"/>
    <w:rsid w:val="00E34C5F"/>
    <w:rsid w:val="00E54059"/>
    <w:rsid w:val="00E912F0"/>
    <w:rsid w:val="00ED5F3C"/>
    <w:rsid w:val="00F340FE"/>
    <w:rsid w:val="00F53561"/>
    <w:rsid w:val="00F66B50"/>
    <w:rsid w:val="00F75964"/>
    <w:rsid w:val="00FD05E5"/>
    <w:rsid w:val="00FE0F78"/>
    <w:rsid w:val="00FF0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419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BD7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BD7419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BD7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D7419"/>
    <w:rPr>
      <w:rFonts w:ascii="Calibri" w:eastAsia="Calibri" w:hAnsi="Calibri" w:cs="Calibri"/>
      <w:lang w:eastAsia="ar-SA"/>
    </w:rPr>
  </w:style>
  <w:style w:type="paragraph" w:styleId="PargrafodaLista">
    <w:name w:val="List Paragraph"/>
    <w:basedOn w:val="Normal"/>
    <w:uiPriority w:val="34"/>
    <w:qFormat/>
    <w:rsid w:val="006369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584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thiago.paiva</cp:lastModifiedBy>
  <cp:revision>3</cp:revision>
  <cp:lastPrinted>2017-02-14T17:16:00Z</cp:lastPrinted>
  <dcterms:created xsi:type="dcterms:W3CDTF">2017-02-14T15:22:00Z</dcterms:created>
  <dcterms:modified xsi:type="dcterms:W3CDTF">2017-02-14T17:20:00Z</dcterms:modified>
</cp:coreProperties>
</file>