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6529A2">
        <w:rPr>
          <w:rFonts w:asciiTheme="minorHAnsi" w:hAnsiTheme="minorHAnsi" w:cstheme="minorHAnsi"/>
          <w:bCs/>
          <w:sz w:val="20"/>
          <w:szCs w:val="20"/>
        </w:rPr>
        <w:t>20537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6529A2">
        <w:rPr>
          <w:rFonts w:asciiTheme="minorHAnsi" w:hAnsiTheme="minorHAnsi" w:cstheme="minorHAnsi"/>
          <w:bCs/>
          <w:sz w:val="20"/>
          <w:szCs w:val="20"/>
        </w:rPr>
        <w:t>20537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6529A2">
        <w:rPr>
          <w:rFonts w:asciiTheme="minorHAnsi" w:hAnsiTheme="minorHAnsi" w:cstheme="minorHAnsi"/>
          <w:sz w:val="20"/>
          <w:szCs w:val="20"/>
        </w:rPr>
        <w:t>6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529A2">
        <w:rPr>
          <w:rFonts w:asciiTheme="minorHAnsi" w:hAnsiTheme="minorHAnsi" w:cstheme="minorHAnsi"/>
          <w:sz w:val="20"/>
          <w:szCs w:val="20"/>
        </w:rPr>
        <w:t>seis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6529A2">
        <w:rPr>
          <w:rFonts w:asciiTheme="minorHAnsi" w:hAnsiTheme="minorHAnsi" w:cstheme="minorHAnsi"/>
          <w:sz w:val="20"/>
          <w:szCs w:val="20"/>
        </w:rPr>
        <w:t>Chagas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6529A2">
        <w:rPr>
          <w:rFonts w:asciiTheme="minorHAnsi" w:hAnsiTheme="minorHAnsi" w:cstheme="minorHAnsi"/>
          <w:b/>
          <w:sz w:val="20"/>
          <w:szCs w:val="20"/>
        </w:rPr>
        <w:t>9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e novecentos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1B385F">
        <w:rPr>
          <w:rFonts w:asciiTheme="minorHAnsi" w:hAnsiTheme="minorHAnsi" w:cstheme="minorHAnsi"/>
          <w:sz w:val="20"/>
          <w:szCs w:val="20"/>
        </w:rPr>
        <w:t>6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6529A2">
        <w:rPr>
          <w:rFonts w:asciiTheme="minorHAnsi" w:hAnsiTheme="minorHAnsi" w:cstheme="minorHAnsi"/>
          <w:sz w:val="20"/>
          <w:szCs w:val="20"/>
        </w:rPr>
        <w:t>Audinez de Souza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C5EDD">
        <w:rPr>
          <w:rFonts w:asciiTheme="minorHAnsi" w:hAnsiTheme="minorHAnsi" w:cstheme="minorHAnsi"/>
          <w:sz w:val="20"/>
          <w:szCs w:val="20"/>
        </w:rPr>
        <w:t>2</w:t>
      </w:r>
      <w:r w:rsidR="006529A2">
        <w:rPr>
          <w:rFonts w:asciiTheme="minorHAnsi" w:hAnsiTheme="minorHAnsi" w:cstheme="minorHAnsi"/>
          <w:sz w:val="20"/>
          <w:szCs w:val="20"/>
        </w:rPr>
        <w:t>4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6529A2">
        <w:rPr>
          <w:rFonts w:asciiTheme="minorHAnsi" w:hAnsiTheme="minorHAnsi" w:cstheme="minorHAnsi"/>
          <w:sz w:val="20"/>
          <w:szCs w:val="20"/>
        </w:rPr>
        <w:t>2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625BC2">
        <w:rPr>
          <w:rFonts w:asciiTheme="minorHAnsi" w:hAnsiTheme="minorHAnsi" w:cstheme="minorHAnsi"/>
          <w:b/>
          <w:sz w:val="20"/>
          <w:szCs w:val="20"/>
        </w:rPr>
        <w:t>19</w:t>
      </w:r>
      <w:r w:rsidR="006529A2">
        <w:rPr>
          <w:rFonts w:asciiTheme="minorHAnsi" w:hAnsiTheme="minorHAnsi" w:cstheme="minorHAnsi"/>
          <w:b/>
          <w:sz w:val="20"/>
          <w:szCs w:val="20"/>
        </w:rPr>
        <w:t>244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6529A2">
        <w:rPr>
          <w:rFonts w:asciiTheme="minorHAnsi" w:hAnsiTheme="minorHAnsi" w:cstheme="minorHAnsi"/>
          <w:sz w:val="20"/>
          <w:szCs w:val="20"/>
        </w:rPr>
        <w:t>6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14/16,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b) Bioplasma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c) A.A.S.Comércio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18.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1B385F">
        <w:rPr>
          <w:rFonts w:asciiTheme="minorHAnsi" w:hAnsiTheme="minorHAnsi" w:cstheme="minorHAnsi"/>
          <w:sz w:val="20"/>
          <w:szCs w:val="20"/>
        </w:rPr>
        <w:t>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1B385F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1B385F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133732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C5AC8">
        <w:rPr>
          <w:rFonts w:asciiTheme="minorHAnsi" w:hAnsiTheme="minorHAnsi" w:cstheme="minorHAnsi"/>
          <w:sz w:val="20"/>
          <w:szCs w:val="20"/>
        </w:rPr>
        <w:t>07/02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1B385F">
        <w:rPr>
          <w:rFonts w:asciiTheme="minorHAnsi" w:hAnsiTheme="minorHAnsi" w:cstheme="minorHAnsi"/>
          <w:sz w:val="20"/>
          <w:szCs w:val="20"/>
        </w:rPr>
        <w:t>39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D1235">
        <w:rPr>
          <w:rFonts w:asciiTheme="minorHAnsi" w:hAnsiTheme="minorHAnsi" w:cstheme="minorHAnsi"/>
          <w:sz w:val="20"/>
          <w:szCs w:val="20"/>
        </w:rPr>
        <w:t>06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1B385F">
        <w:rPr>
          <w:rFonts w:asciiTheme="minorHAnsi" w:hAnsiTheme="minorHAnsi" w:cstheme="minorHAnsi"/>
          <w:sz w:val="20"/>
          <w:szCs w:val="20"/>
        </w:rPr>
        <w:t>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1B385F">
        <w:rPr>
          <w:rFonts w:asciiTheme="minorHAnsi" w:hAnsiTheme="minorHAnsi" w:cstheme="minorHAnsi"/>
          <w:sz w:val="20"/>
          <w:szCs w:val="20"/>
        </w:rPr>
        <w:t>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ED1235">
        <w:rPr>
          <w:rFonts w:asciiTheme="minorHAnsi" w:hAnsiTheme="minorHAnsi" w:cstheme="minorHAnsi"/>
          <w:sz w:val="20"/>
          <w:szCs w:val="20"/>
        </w:rPr>
        <w:t>a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1B385F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529A2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529A2">
        <w:rPr>
          <w:rFonts w:asciiTheme="minorHAnsi" w:hAnsiTheme="minorHAnsi" w:cstheme="minorHAnsi"/>
          <w:b/>
          <w:sz w:val="20"/>
          <w:szCs w:val="20"/>
        </w:rPr>
        <w:t>7.900,00</w:t>
      </w:r>
      <w:r w:rsidR="006529A2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529A2">
        <w:rPr>
          <w:rFonts w:asciiTheme="minorHAnsi" w:hAnsiTheme="minorHAnsi" w:cstheme="minorHAnsi"/>
          <w:b/>
          <w:sz w:val="20"/>
          <w:szCs w:val="20"/>
        </w:rPr>
        <w:t>sete</w:t>
      </w:r>
      <w:r w:rsidR="006529A2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 e novecentos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2C08F7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529A2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529A2">
        <w:rPr>
          <w:rFonts w:asciiTheme="minorHAnsi" w:hAnsiTheme="minorHAnsi" w:cstheme="minorHAnsi"/>
          <w:b/>
          <w:sz w:val="20"/>
          <w:szCs w:val="20"/>
        </w:rPr>
        <w:t>7.900,00</w:t>
      </w:r>
      <w:r w:rsidR="006529A2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529A2">
        <w:rPr>
          <w:rFonts w:asciiTheme="minorHAnsi" w:hAnsiTheme="minorHAnsi" w:cstheme="minorHAnsi"/>
          <w:b/>
          <w:sz w:val="20"/>
          <w:szCs w:val="20"/>
        </w:rPr>
        <w:t>sete</w:t>
      </w:r>
      <w:r w:rsidR="006529A2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 e novecentos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</w:t>
      </w:r>
      <w:r w:rsidR="00AD2F88">
        <w:rPr>
          <w:rFonts w:asciiTheme="minorHAnsi" w:hAnsiTheme="minorHAnsi" w:cstheme="minorHAnsi"/>
          <w:bCs/>
          <w:sz w:val="20"/>
          <w:szCs w:val="20"/>
        </w:rPr>
        <w:t>6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2C08F7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7C4" w:rsidRDefault="00A927C4" w:rsidP="003068B9">
      <w:pPr>
        <w:spacing w:after="0" w:line="240" w:lineRule="auto"/>
      </w:pPr>
      <w:r>
        <w:separator/>
      </w:r>
    </w:p>
  </w:endnote>
  <w:endnote w:type="continuationSeparator" w:id="1">
    <w:p w:rsidR="00A927C4" w:rsidRDefault="00A927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7C4" w:rsidRDefault="00A927C4" w:rsidP="003068B9">
      <w:pPr>
        <w:spacing w:after="0" w:line="240" w:lineRule="auto"/>
      </w:pPr>
      <w:r>
        <w:separator/>
      </w:r>
    </w:p>
  </w:footnote>
  <w:footnote w:type="continuationSeparator" w:id="1">
    <w:p w:rsidR="00A927C4" w:rsidRDefault="00A927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517C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08F7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17C1A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7C4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7</cp:revision>
  <cp:lastPrinted>2017-07-04T17:25:00Z</cp:lastPrinted>
  <dcterms:created xsi:type="dcterms:W3CDTF">2017-07-06T13:10:00Z</dcterms:created>
  <dcterms:modified xsi:type="dcterms:W3CDTF">2017-07-11T18:33:00Z</dcterms:modified>
</cp:coreProperties>
</file>