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2072F" w:rsidRDefault="0052072F" w:rsidP="005207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2072F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 2000-17726/2016</w:t>
      </w:r>
    </w:p>
    <w:p w:rsidR="00475A79" w:rsidRPr="0052072F" w:rsidRDefault="0052072F" w:rsidP="005207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52072F">
        <w:rPr>
          <w:rFonts w:asciiTheme="minorHAnsi" w:hAnsiTheme="minorHAnsi" w:cstheme="minorHAnsi"/>
          <w:bCs/>
          <w:sz w:val="20"/>
          <w:szCs w:val="20"/>
        </w:rPr>
        <w:t>SECRETARIA DE ESTADO DA SAÚDE – SESAU</w:t>
      </w:r>
    </w:p>
    <w:p w:rsidR="00BC7D60" w:rsidRPr="0052072F" w:rsidRDefault="0052072F" w:rsidP="005207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 CONTRATAÇÃO DE PROCEDIMENTOS (DEMANDAS JUDICIAIS).</w:t>
      </w:r>
    </w:p>
    <w:p w:rsidR="00296284" w:rsidRPr="0052072F" w:rsidRDefault="00296284" w:rsidP="005207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52072F" w:rsidRDefault="007D6BC5" w:rsidP="005207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Trata-se d</w:t>
      </w:r>
      <w:r w:rsidR="009E4FDC" w:rsidRPr="0052072F">
        <w:rPr>
          <w:rFonts w:asciiTheme="minorHAnsi" w:hAnsiTheme="minorHAnsi" w:cstheme="minorHAnsi"/>
          <w:sz w:val="20"/>
          <w:szCs w:val="20"/>
        </w:rPr>
        <w:t>o</w:t>
      </w:r>
      <w:r w:rsidR="005C738A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52072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2072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52072F" w:rsidRPr="0052072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EE2F60" w:rsidRPr="0052072F">
        <w:rPr>
          <w:rFonts w:asciiTheme="minorHAnsi" w:hAnsiTheme="minorHAnsi" w:cstheme="minorHAnsi"/>
          <w:b/>
          <w:bCs/>
          <w:sz w:val="20"/>
          <w:szCs w:val="20"/>
        </w:rPr>
        <w:t>17726</w:t>
      </w:r>
      <w:r w:rsidRPr="0052072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E2F60" w:rsidRPr="0052072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D73BE7" w:rsidRPr="0052072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52072F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52072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EE2F60" w:rsidRPr="0052072F">
        <w:rPr>
          <w:rFonts w:asciiTheme="minorHAnsi" w:hAnsiTheme="minorHAnsi" w:cstheme="minorHAnsi"/>
          <w:sz w:val="20"/>
          <w:szCs w:val="20"/>
        </w:rPr>
        <w:t>51</w:t>
      </w:r>
      <w:r w:rsidR="00286559" w:rsidRPr="0052072F">
        <w:rPr>
          <w:rFonts w:asciiTheme="minorHAnsi" w:hAnsiTheme="minorHAnsi" w:cstheme="minorHAnsi"/>
          <w:sz w:val="20"/>
          <w:szCs w:val="20"/>
        </w:rPr>
        <w:t xml:space="preserve"> (</w:t>
      </w:r>
      <w:r w:rsidR="00EE2F60" w:rsidRPr="0052072F">
        <w:rPr>
          <w:rFonts w:asciiTheme="minorHAnsi" w:hAnsiTheme="minorHAnsi" w:cstheme="minorHAnsi"/>
          <w:sz w:val="20"/>
          <w:szCs w:val="20"/>
        </w:rPr>
        <w:t>cinquenta e uma</w:t>
      </w:r>
      <w:r w:rsidR="00286559" w:rsidRPr="0052072F">
        <w:rPr>
          <w:rFonts w:asciiTheme="minorHAnsi" w:hAnsiTheme="minorHAnsi" w:cstheme="minorHAnsi"/>
          <w:sz w:val="20"/>
          <w:szCs w:val="20"/>
        </w:rPr>
        <w:t>)</w:t>
      </w:r>
      <w:r w:rsidR="000B2638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52072F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52072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2072F">
        <w:rPr>
          <w:rFonts w:asciiTheme="minorHAnsi" w:hAnsiTheme="minorHAnsi" w:cstheme="minorHAnsi"/>
          <w:sz w:val="20"/>
          <w:szCs w:val="20"/>
        </w:rPr>
        <w:t>versa</w:t>
      </w:r>
      <w:r w:rsidR="00685F30" w:rsidRPr="0052072F">
        <w:rPr>
          <w:rFonts w:asciiTheme="minorHAnsi" w:hAnsiTheme="minorHAnsi" w:cstheme="minorHAnsi"/>
          <w:sz w:val="20"/>
          <w:szCs w:val="20"/>
        </w:rPr>
        <w:t>m</w:t>
      </w:r>
      <w:r w:rsidR="00E96A71" w:rsidRPr="0052072F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2072F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52072F">
        <w:rPr>
          <w:rFonts w:asciiTheme="minorHAnsi" w:hAnsiTheme="minorHAnsi" w:cstheme="minorHAnsi"/>
          <w:bCs/>
          <w:sz w:val="20"/>
          <w:szCs w:val="20"/>
        </w:rPr>
        <w:t xml:space="preserve">contratação </w:t>
      </w:r>
      <w:r w:rsidR="00B347A2" w:rsidRPr="0052072F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E2F60" w:rsidRPr="0052072F">
        <w:rPr>
          <w:rFonts w:asciiTheme="minorHAnsi" w:hAnsiTheme="minorHAnsi" w:cstheme="minorHAnsi"/>
          <w:bCs/>
          <w:sz w:val="20"/>
          <w:szCs w:val="20"/>
        </w:rPr>
        <w:t>procedimento cirúrgico</w:t>
      </w:r>
      <w:r w:rsidR="00E10CC6" w:rsidRPr="0052072F">
        <w:rPr>
          <w:rFonts w:asciiTheme="minorHAnsi" w:hAnsiTheme="minorHAnsi" w:cstheme="minorHAnsi"/>
          <w:bCs/>
          <w:sz w:val="20"/>
          <w:szCs w:val="20"/>
        </w:rPr>
        <w:t xml:space="preserve"> (demanda judicial</w:t>
      </w:r>
      <w:r w:rsidR="00EE2F60" w:rsidRPr="0052072F">
        <w:rPr>
          <w:rFonts w:asciiTheme="minorHAnsi" w:hAnsiTheme="minorHAnsi" w:cstheme="minorHAnsi"/>
          <w:bCs/>
          <w:sz w:val="20"/>
          <w:szCs w:val="20"/>
        </w:rPr>
        <w:t>)</w:t>
      </w:r>
      <w:r w:rsidR="00286559" w:rsidRPr="0052072F">
        <w:rPr>
          <w:rFonts w:asciiTheme="minorHAnsi" w:hAnsiTheme="minorHAnsi" w:cstheme="minorHAnsi"/>
          <w:sz w:val="20"/>
          <w:szCs w:val="20"/>
        </w:rPr>
        <w:t>.</w:t>
      </w:r>
      <w:r w:rsidR="00244026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52072F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52072F">
        <w:rPr>
          <w:rFonts w:asciiTheme="minorHAnsi" w:hAnsiTheme="minorHAnsi" w:cstheme="minorHAnsi"/>
          <w:sz w:val="20"/>
          <w:szCs w:val="20"/>
        </w:rPr>
        <w:t xml:space="preserve">R$ </w:t>
      </w:r>
      <w:r w:rsidR="00EE2F60" w:rsidRPr="0052072F">
        <w:rPr>
          <w:rFonts w:asciiTheme="minorHAnsi" w:hAnsiTheme="minorHAnsi" w:cstheme="minorHAnsi"/>
          <w:sz w:val="20"/>
          <w:szCs w:val="20"/>
        </w:rPr>
        <w:t>4.700</w:t>
      </w:r>
      <w:r w:rsidR="00B40784" w:rsidRPr="0052072F">
        <w:rPr>
          <w:rFonts w:asciiTheme="minorHAnsi" w:hAnsiTheme="minorHAnsi" w:cstheme="minorHAnsi"/>
          <w:sz w:val="20"/>
          <w:szCs w:val="20"/>
        </w:rPr>
        <w:t>,00</w:t>
      </w:r>
      <w:r w:rsidR="00D516B9" w:rsidRPr="0052072F">
        <w:rPr>
          <w:rFonts w:asciiTheme="minorHAnsi" w:hAnsiTheme="minorHAnsi" w:cstheme="minorHAnsi"/>
          <w:sz w:val="20"/>
          <w:szCs w:val="20"/>
        </w:rPr>
        <w:t xml:space="preserve"> (</w:t>
      </w:r>
      <w:r w:rsidR="00EE2F60" w:rsidRPr="0052072F">
        <w:rPr>
          <w:rFonts w:asciiTheme="minorHAnsi" w:hAnsiTheme="minorHAnsi" w:cstheme="minorHAnsi"/>
          <w:sz w:val="20"/>
          <w:szCs w:val="20"/>
        </w:rPr>
        <w:t xml:space="preserve">quatro </w:t>
      </w:r>
      <w:r w:rsidR="00D516B9" w:rsidRPr="0052072F">
        <w:rPr>
          <w:rFonts w:asciiTheme="minorHAnsi" w:hAnsiTheme="minorHAnsi" w:cstheme="minorHAnsi"/>
          <w:sz w:val="20"/>
          <w:szCs w:val="20"/>
        </w:rPr>
        <w:t>mil</w:t>
      </w:r>
      <w:r w:rsidR="00EE2F60" w:rsidRPr="0052072F">
        <w:rPr>
          <w:rFonts w:asciiTheme="minorHAnsi" w:hAnsiTheme="minorHAnsi" w:cstheme="minorHAnsi"/>
          <w:sz w:val="20"/>
          <w:szCs w:val="20"/>
        </w:rPr>
        <w:t xml:space="preserve"> e setecentos</w:t>
      </w:r>
      <w:r w:rsidR="00B347A2" w:rsidRPr="0052072F">
        <w:rPr>
          <w:rFonts w:asciiTheme="minorHAnsi" w:hAnsiTheme="minorHAnsi" w:cstheme="minorHAnsi"/>
          <w:sz w:val="20"/>
          <w:szCs w:val="20"/>
        </w:rPr>
        <w:t xml:space="preserve"> reais</w:t>
      </w:r>
      <w:r w:rsidR="005F7FC5" w:rsidRPr="0052072F">
        <w:rPr>
          <w:rFonts w:asciiTheme="minorHAnsi" w:hAnsiTheme="minorHAnsi" w:cstheme="minorHAnsi"/>
          <w:sz w:val="20"/>
          <w:szCs w:val="20"/>
        </w:rPr>
        <w:t>)</w:t>
      </w:r>
      <w:r w:rsidR="004E36E6" w:rsidRPr="0052072F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52072F">
        <w:rPr>
          <w:rFonts w:asciiTheme="minorHAnsi" w:hAnsiTheme="minorHAnsi" w:cstheme="minorHAnsi"/>
          <w:sz w:val="20"/>
          <w:szCs w:val="20"/>
        </w:rPr>
        <w:t>a</w:t>
      </w:r>
      <w:r w:rsidR="004E36E6" w:rsidRPr="0052072F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2072F" w:rsidRPr="0052072F">
        <w:rPr>
          <w:rFonts w:asciiTheme="minorHAnsi" w:hAnsiTheme="minorHAnsi" w:cstheme="minorHAnsi"/>
          <w:b/>
          <w:sz w:val="20"/>
          <w:szCs w:val="20"/>
        </w:rPr>
        <w:t>INSTITUTO DA VISÃO (CNPJ 70.014.030/0001-32)</w:t>
      </w:r>
      <w:r w:rsidR="0052072F" w:rsidRPr="0052072F">
        <w:rPr>
          <w:rFonts w:asciiTheme="minorHAnsi" w:hAnsiTheme="minorHAnsi" w:cstheme="minorHAnsi"/>
          <w:sz w:val="20"/>
          <w:szCs w:val="20"/>
        </w:rPr>
        <w:t>.</w:t>
      </w:r>
    </w:p>
    <w:p w:rsidR="0098743D" w:rsidRPr="0052072F" w:rsidRDefault="0098743D" w:rsidP="005207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52072F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52072F" w:rsidRDefault="00722492" w:rsidP="0052072F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2072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52072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52072F">
        <w:rPr>
          <w:rFonts w:asciiTheme="minorHAnsi" w:hAnsiTheme="minorHAnsi" w:cstheme="minorHAnsi"/>
          <w:bCs/>
          <w:sz w:val="20"/>
          <w:szCs w:val="20"/>
        </w:rPr>
        <w:t>2000</w:t>
      </w:r>
      <w:r w:rsidR="0052072F" w:rsidRPr="0052072F">
        <w:rPr>
          <w:rFonts w:asciiTheme="minorHAnsi" w:hAnsiTheme="minorHAnsi" w:cstheme="minorHAnsi"/>
          <w:bCs/>
          <w:sz w:val="20"/>
          <w:szCs w:val="20"/>
        </w:rPr>
        <w:t>-</w:t>
      </w:r>
      <w:r w:rsidR="00EE2F60" w:rsidRPr="0052072F">
        <w:rPr>
          <w:rFonts w:asciiTheme="minorHAnsi" w:hAnsiTheme="minorHAnsi" w:cstheme="minorHAnsi"/>
          <w:bCs/>
          <w:sz w:val="20"/>
          <w:szCs w:val="20"/>
        </w:rPr>
        <w:t>17726</w:t>
      </w:r>
      <w:r w:rsidR="00AF6A44" w:rsidRPr="0052072F">
        <w:rPr>
          <w:rFonts w:asciiTheme="minorHAnsi" w:hAnsiTheme="minorHAnsi" w:cstheme="minorHAnsi"/>
          <w:bCs/>
          <w:sz w:val="20"/>
          <w:szCs w:val="20"/>
        </w:rPr>
        <w:t>/201</w:t>
      </w:r>
      <w:r w:rsidR="00D13A3D" w:rsidRPr="0052072F">
        <w:rPr>
          <w:rFonts w:asciiTheme="minorHAnsi" w:hAnsiTheme="minorHAnsi" w:cstheme="minorHAnsi"/>
          <w:bCs/>
          <w:sz w:val="20"/>
          <w:szCs w:val="20"/>
        </w:rPr>
        <w:t>5</w:t>
      </w:r>
      <w:r w:rsidR="003262B7" w:rsidRPr="0052072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52072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52072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52072F" w:rsidRDefault="00722492" w:rsidP="0052072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52072F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52072F">
        <w:rPr>
          <w:rFonts w:asciiTheme="minorHAnsi" w:hAnsiTheme="minorHAnsi" w:cstheme="minorHAnsi"/>
          <w:i/>
          <w:sz w:val="20"/>
          <w:szCs w:val="20"/>
        </w:rPr>
        <w:t>a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52072F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EE2F60" w:rsidRPr="0052072F">
        <w:rPr>
          <w:rFonts w:asciiTheme="minorHAnsi" w:hAnsiTheme="minorHAnsi" w:cstheme="minorHAnsi"/>
          <w:sz w:val="20"/>
          <w:szCs w:val="20"/>
        </w:rPr>
        <w:t>51</w:t>
      </w:r>
      <w:r w:rsidRPr="0052072F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52072F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EE2F60" w:rsidRPr="0052072F" w:rsidRDefault="00EE2F60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a) </w:t>
      </w:r>
      <w:r w:rsidR="009F5D11" w:rsidRPr="0052072F">
        <w:rPr>
          <w:rFonts w:asciiTheme="minorHAnsi" w:hAnsiTheme="minorHAnsi" w:cstheme="minorHAnsi"/>
          <w:sz w:val="20"/>
          <w:szCs w:val="20"/>
        </w:rPr>
        <w:t>À</w:t>
      </w:r>
      <w:r w:rsidRPr="0052072F">
        <w:rPr>
          <w:rFonts w:asciiTheme="minorHAnsi" w:hAnsiTheme="minorHAnsi" w:cstheme="minorHAnsi"/>
          <w:sz w:val="20"/>
          <w:szCs w:val="20"/>
        </w:rPr>
        <w:t>s</w:t>
      </w:r>
      <w:r w:rsidR="009F5D11" w:rsidRPr="0052072F">
        <w:rPr>
          <w:rFonts w:asciiTheme="minorHAnsi" w:hAnsiTheme="minorHAnsi" w:cstheme="minorHAnsi"/>
          <w:sz w:val="20"/>
          <w:szCs w:val="20"/>
        </w:rPr>
        <w:t xml:space="preserve"> f</w:t>
      </w:r>
      <w:r w:rsidR="004F68B3" w:rsidRPr="0052072F">
        <w:rPr>
          <w:rFonts w:asciiTheme="minorHAnsi" w:hAnsiTheme="minorHAnsi" w:cstheme="minorHAnsi"/>
          <w:sz w:val="20"/>
          <w:szCs w:val="20"/>
        </w:rPr>
        <w:t>l</w:t>
      </w:r>
      <w:r w:rsidRPr="0052072F">
        <w:rPr>
          <w:rFonts w:asciiTheme="minorHAnsi" w:hAnsiTheme="minorHAnsi" w:cstheme="minorHAnsi"/>
          <w:sz w:val="20"/>
          <w:szCs w:val="20"/>
        </w:rPr>
        <w:t>s</w:t>
      </w:r>
      <w:r w:rsidR="004F68B3" w:rsidRPr="0052072F">
        <w:rPr>
          <w:rFonts w:asciiTheme="minorHAnsi" w:hAnsiTheme="minorHAnsi" w:cstheme="minorHAnsi"/>
          <w:sz w:val="20"/>
          <w:szCs w:val="20"/>
        </w:rPr>
        <w:t xml:space="preserve">. </w:t>
      </w:r>
      <w:r w:rsidR="00F21A15" w:rsidRPr="0052072F">
        <w:rPr>
          <w:rFonts w:asciiTheme="minorHAnsi" w:hAnsiTheme="minorHAnsi" w:cstheme="minorHAnsi"/>
          <w:sz w:val="20"/>
          <w:szCs w:val="20"/>
        </w:rPr>
        <w:t>02</w:t>
      </w:r>
      <w:r w:rsidRPr="0052072F">
        <w:rPr>
          <w:rFonts w:asciiTheme="minorHAnsi" w:hAnsiTheme="minorHAnsi" w:cstheme="minorHAnsi"/>
          <w:sz w:val="20"/>
          <w:szCs w:val="20"/>
        </w:rPr>
        <w:t>/03</w:t>
      </w:r>
      <w:r w:rsidR="00F21A15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consta </w:t>
      </w:r>
      <w:r w:rsidRPr="0052072F">
        <w:rPr>
          <w:rFonts w:asciiTheme="minorHAnsi" w:hAnsiTheme="minorHAnsi" w:cstheme="minorHAnsi"/>
          <w:sz w:val="20"/>
          <w:szCs w:val="20"/>
        </w:rPr>
        <w:t xml:space="preserve">Mandado de </w:t>
      </w:r>
      <w:r w:rsidR="004450C0" w:rsidRPr="0052072F">
        <w:rPr>
          <w:rFonts w:asciiTheme="minorHAnsi" w:hAnsiTheme="minorHAnsi" w:cstheme="minorHAnsi"/>
          <w:sz w:val="20"/>
          <w:szCs w:val="20"/>
        </w:rPr>
        <w:t>Intimação</w:t>
      </w:r>
      <w:r w:rsidRPr="0052072F">
        <w:rPr>
          <w:rFonts w:asciiTheme="minorHAnsi" w:hAnsiTheme="minorHAnsi" w:cstheme="minorHAnsi"/>
          <w:sz w:val="20"/>
          <w:szCs w:val="20"/>
        </w:rPr>
        <w:t>, expedido pelo Juízo de Direito da 28ª Vara da Infância e Juventude da Capital, nos autos do processo judicial nº 0700328-20.2016.8.02.</w:t>
      </w:r>
      <w:r w:rsidR="00E10CC6" w:rsidRPr="0052072F">
        <w:rPr>
          <w:rFonts w:asciiTheme="minorHAnsi" w:hAnsiTheme="minorHAnsi" w:cstheme="minorHAnsi"/>
          <w:sz w:val="20"/>
          <w:szCs w:val="20"/>
        </w:rPr>
        <w:t>009</w:t>
      </w:r>
      <w:r w:rsidRPr="0052072F">
        <w:rPr>
          <w:rFonts w:asciiTheme="minorHAnsi" w:hAnsiTheme="minorHAnsi" w:cstheme="minorHAnsi"/>
          <w:sz w:val="20"/>
          <w:szCs w:val="20"/>
        </w:rPr>
        <w:t>0, em face do Estado de Alagoas, tendo como autor João Paulo dos Santos da Silva, representado por Martina dos Santos da Silva.</w:t>
      </w:r>
      <w:r w:rsidR="00D95FF9" w:rsidRPr="005207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2F60" w:rsidRPr="0052072F" w:rsidRDefault="00EE2F60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b) À fl. 04 consta despacho s/n</w:t>
      </w:r>
      <w:r w:rsidR="00AF6A44" w:rsidRPr="0052072F">
        <w:rPr>
          <w:rFonts w:asciiTheme="minorHAnsi" w:hAnsiTheme="minorHAnsi" w:cstheme="minorHAnsi"/>
          <w:sz w:val="20"/>
          <w:szCs w:val="20"/>
        </w:rPr>
        <w:t>º</w:t>
      </w:r>
      <w:r w:rsidRPr="0052072F">
        <w:rPr>
          <w:rFonts w:asciiTheme="minorHAnsi" w:hAnsiTheme="minorHAnsi" w:cstheme="minorHAnsi"/>
          <w:sz w:val="20"/>
          <w:szCs w:val="20"/>
        </w:rPr>
        <w:t>, expedido pela Assessoria Técnica da Secretaria de Estado da Saúde, informando a necessidade de imediato cumprimento da decisão judicial em epígrafe.</w:t>
      </w:r>
      <w:r w:rsidR="00D95FF9" w:rsidRPr="0052072F">
        <w:rPr>
          <w:rFonts w:asciiTheme="minorHAnsi" w:hAnsiTheme="minorHAnsi" w:cstheme="minorHAnsi"/>
          <w:sz w:val="20"/>
          <w:szCs w:val="20"/>
        </w:rPr>
        <w:t xml:space="preserve"> O referido despacho realizou a juntada de documentos que instruíram o processo judicial, bem como a decisão judicial em </w:t>
      </w:r>
      <w:r w:rsidR="00D95FF9" w:rsidRPr="0052072F">
        <w:rPr>
          <w:rFonts w:asciiTheme="minorHAnsi" w:hAnsiTheme="minorHAnsi" w:cstheme="minorHAnsi"/>
          <w:b/>
          <w:sz w:val="20"/>
          <w:szCs w:val="20"/>
        </w:rPr>
        <w:t>sede de antecipação de tutela</w:t>
      </w:r>
      <w:r w:rsidR="00D95FF9" w:rsidRPr="0052072F">
        <w:rPr>
          <w:rFonts w:asciiTheme="minorHAnsi" w:hAnsiTheme="minorHAnsi" w:cstheme="minorHAnsi"/>
          <w:sz w:val="20"/>
          <w:szCs w:val="20"/>
        </w:rPr>
        <w:t>, datada de 15/08/2016</w:t>
      </w:r>
      <w:r w:rsidR="00341F8B" w:rsidRPr="0052072F">
        <w:rPr>
          <w:rFonts w:asciiTheme="minorHAnsi" w:hAnsiTheme="minorHAnsi" w:cstheme="minorHAnsi"/>
          <w:sz w:val="20"/>
          <w:szCs w:val="20"/>
        </w:rPr>
        <w:t xml:space="preserve"> (fls. 05/13)</w:t>
      </w:r>
      <w:r w:rsidR="00D95FF9" w:rsidRPr="0052072F">
        <w:rPr>
          <w:rFonts w:asciiTheme="minorHAnsi" w:hAnsiTheme="minorHAnsi" w:cstheme="minorHAnsi"/>
          <w:sz w:val="20"/>
          <w:szCs w:val="20"/>
        </w:rPr>
        <w:t xml:space="preserve">. </w:t>
      </w:r>
      <w:r w:rsidR="00D95FF9" w:rsidRPr="0052072F">
        <w:rPr>
          <w:rFonts w:asciiTheme="minorHAnsi" w:hAnsiTheme="minorHAnsi" w:cstheme="minorHAnsi"/>
          <w:b/>
          <w:sz w:val="20"/>
          <w:szCs w:val="20"/>
        </w:rPr>
        <w:t xml:space="preserve">Destaque-se o prazo para cumprimento em 05 (cinco) dias contados da intimação, </w:t>
      </w:r>
      <w:proofErr w:type="gramStart"/>
      <w:r w:rsidR="00D95FF9" w:rsidRPr="0052072F">
        <w:rPr>
          <w:rFonts w:asciiTheme="minorHAnsi" w:hAnsiTheme="minorHAnsi" w:cstheme="minorHAnsi"/>
          <w:b/>
          <w:sz w:val="20"/>
          <w:szCs w:val="20"/>
        </w:rPr>
        <w:t>sob pena</w:t>
      </w:r>
      <w:proofErr w:type="gramEnd"/>
      <w:r w:rsidR="00D95FF9" w:rsidRPr="0052072F">
        <w:rPr>
          <w:rFonts w:asciiTheme="minorHAnsi" w:hAnsiTheme="minorHAnsi" w:cstheme="minorHAnsi"/>
          <w:b/>
          <w:sz w:val="20"/>
          <w:szCs w:val="20"/>
        </w:rPr>
        <w:t xml:space="preserve"> de multa diária no valor de R$ 350,00 (trezentos e cinquenta reais).</w:t>
      </w:r>
    </w:p>
    <w:p w:rsidR="00341F8B" w:rsidRPr="0052072F" w:rsidRDefault="00341F8B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c) À</w:t>
      </w:r>
      <w:r w:rsidR="0032430F" w:rsidRPr="0052072F">
        <w:rPr>
          <w:rFonts w:asciiTheme="minorHAnsi" w:hAnsiTheme="minorHAnsi" w:cstheme="minorHAnsi"/>
          <w:sz w:val="20"/>
          <w:szCs w:val="20"/>
        </w:rPr>
        <w:t>s</w:t>
      </w:r>
      <w:r w:rsidRPr="0052072F">
        <w:rPr>
          <w:rFonts w:asciiTheme="minorHAnsi" w:hAnsiTheme="minorHAnsi" w:cstheme="minorHAnsi"/>
          <w:sz w:val="20"/>
          <w:szCs w:val="20"/>
        </w:rPr>
        <w:t xml:space="preserve"> fl</w:t>
      </w:r>
      <w:r w:rsidR="0032430F" w:rsidRPr="0052072F">
        <w:rPr>
          <w:rFonts w:asciiTheme="minorHAnsi" w:hAnsiTheme="minorHAnsi" w:cstheme="minorHAnsi"/>
          <w:sz w:val="20"/>
          <w:szCs w:val="20"/>
        </w:rPr>
        <w:t>s</w:t>
      </w:r>
      <w:r w:rsidRPr="0052072F">
        <w:rPr>
          <w:rFonts w:asciiTheme="minorHAnsi" w:hAnsiTheme="minorHAnsi" w:cstheme="minorHAnsi"/>
          <w:sz w:val="20"/>
          <w:szCs w:val="20"/>
        </w:rPr>
        <w:t>. 14</w:t>
      </w:r>
      <w:r w:rsidR="0032430F" w:rsidRPr="0052072F">
        <w:rPr>
          <w:rFonts w:asciiTheme="minorHAnsi" w:hAnsiTheme="minorHAnsi" w:cstheme="minorHAnsi"/>
          <w:sz w:val="20"/>
          <w:szCs w:val="20"/>
        </w:rPr>
        <w:t>/15</w:t>
      </w:r>
      <w:r w:rsidRPr="0052072F">
        <w:rPr>
          <w:rFonts w:asciiTheme="minorHAnsi" w:hAnsiTheme="minorHAnsi" w:cstheme="minorHAnsi"/>
          <w:sz w:val="20"/>
          <w:szCs w:val="20"/>
        </w:rPr>
        <w:t xml:space="preserve"> consta despacho s/nº, expedido pela Gerência de Núcleo de Controle e Avaliação</w:t>
      </w:r>
      <w:r w:rsidR="004450C0" w:rsidRPr="0052072F">
        <w:rPr>
          <w:rFonts w:asciiTheme="minorHAnsi" w:hAnsiTheme="minorHAnsi" w:cstheme="minorHAnsi"/>
          <w:sz w:val="20"/>
          <w:szCs w:val="20"/>
        </w:rPr>
        <w:t xml:space="preserve"> - GNCA</w:t>
      </w:r>
      <w:r w:rsidRPr="0052072F">
        <w:rPr>
          <w:rFonts w:asciiTheme="minorHAnsi" w:hAnsiTheme="minorHAnsi" w:cstheme="minorHAnsi"/>
          <w:sz w:val="20"/>
          <w:szCs w:val="20"/>
        </w:rPr>
        <w:t xml:space="preserve">, </w:t>
      </w:r>
      <w:r w:rsidR="004450C0" w:rsidRPr="0052072F">
        <w:rPr>
          <w:rFonts w:asciiTheme="minorHAnsi" w:hAnsiTheme="minorHAnsi" w:cstheme="minorHAnsi"/>
          <w:sz w:val="20"/>
          <w:szCs w:val="20"/>
        </w:rPr>
        <w:t xml:space="preserve">declarando, dentre outras informações, que </w:t>
      </w:r>
      <w:r w:rsidR="004450C0" w:rsidRPr="0052072F">
        <w:rPr>
          <w:rFonts w:asciiTheme="minorHAnsi" w:hAnsiTheme="minorHAnsi" w:cstheme="minorHAnsi"/>
          <w:i/>
          <w:sz w:val="20"/>
          <w:szCs w:val="20"/>
        </w:rPr>
        <w:t xml:space="preserve">“segundo o Cadastro Nacional de Estabelecimentos de Saúde – CNES/DATASUS, no Estado de Alagoas há </w:t>
      </w:r>
      <w:r w:rsidR="004450C0" w:rsidRPr="0052072F">
        <w:rPr>
          <w:rFonts w:asciiTheme="minorHAnsi" w:hAnsiTheme="minorHAnsi" w:cstheme="minorHAnsi"/>
          <w:b/>
          <w:i/>
          <w:sz w:val="20"/>
          <w:szCs w:val="20"/>
        </w:rPr>
        <w:t>serviços especializados em oftalmologia e tratamento cirúrgico do aparelho da visão</w:t>
      </w:r>
      <w:r w:rsidR="004450C0" w:rsidRPr="0052072F">
        <w:rPr>
          <w:rFonts w:asciiTheme="minorHAnsi" w:hAnsiTheme="minorHAnsi" w:cstheme="minorHAnsi"/>
          <w:i/>
          <w:sz w:val="20"/>
          <w:szCs w:val="20"/>
        </w:rPr>
        <w:t>, cadastrados pelo Sistema Único de Saúde – SUS, para prestação do referido serviço, relatório em anexo;”</w:t>
      </w:r>
      <w:r w:rsidR="004450C0" w:rsidRPr="0052072F">
        <w:rPr>
          <w:rFonts w:asciiTheme="minorHAnsi" w:hAnsiTheme="minorHAnsi" w:cstheme="minorHAnsi"/>
          <w:sz w:val="20"/>
          <w:szCs w:val="20"/>
        </w:rPr>
        <w:t>. Em tempo, destacamos a informação traz</w:t>
      </w:r>
      <w:r w:rsidR="0032430F" w:rsidRPr="0052072F">
        <w:rPr>
          <w:rFonts w:asciiTheme="minorHAnsi" w:hAnsiTheme="minorHAnsi" w:cstheme="minorHAnsi"/>
          <w:sz w:val="20"/>
          <w:szCs w:val="20"/>
        </w:rPr>
        <w:t xml:space="preserve">ida no referido despacho acerca de que a Tabela de Procedimentos, Medicamentos, </w:t>
      </w:r>
      <w:proofErr w:type="spellStart"/>
      <w:r w:rsidR="0032430F" w:rsidRPr="0052072F">
        <w:rPr>
          <w:rFonts w:asciiTheme="minorHAnsi" w:hAnsiTheme="minorHAnsi" w:cstheme="minorHAnsi"/>
          <w:sz w:val="20"/>
          <w:szCs w:val="20"/>
        </w:rPr>
        <w:t>Órteses</w:t>
      </w:r>
      <w:proofErr w:type="spellEnd"/>
      <w:r w:rsidR="0032430F" w:rsidRPr="0052072F">
        <w:rPr>
          <w:rFonts w:asciiTheme="minorHAnsi" w:hAnsiTheme="minorHAnsi" w:cstheme="minorHAnsi"/>
          <w:sz w:val="20"/>
          <w:szCs w:val="20"/>
        </w:rPr>
        <w:t xml:space="preserve">, Próteses e Materiais Especiais do SUS </w:t>
      </w:r>
      <w:proofErr w:type="gramStart"/>
      <w:r w:rsidR="0032430F" w:rsidRPr="0052072F">
        <w:rPr>
          <w:rFonts w:asciiTheme="minorHAnsi" w:hAnsiTheme="minorHAnsi" w:cstheme="minorHAnsi"/>
          <w:sz w:val="20"/>
          <w:szCs w:val="20"/>
        </w:rPr>
        <w:t>contempla</w:t>
      </w:r>
      <w:proofErr w:type="gramEnd"/>
      <w:r w:rsidR="0032430F" w:rsidRPr="0052072F">
        <w:rPr>
          <w:rFonts w:asciiTheme="minorHAnsi" w:hAnsiTheme="minorHAnsi" w:cstheme="minorHAnsi"/>
          <w:sz w:val="20"/>
          <w:szCs w:val="20"/>
        </w:rPr>
        <w:t xml:space="preserve"> o procedimento vindicado.</w:t>
      </w:r>
    </w:p>
    <w:p w:rsidR="0032430F" w:rsidRPr="0052072F" w:rsidRDefault="0032430F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d) À fl. 13 consta orçamento expedido pelo Instituto da Visão (CNPJ 70.014.030/0001-32), cujo objeto trata da realização do procedimento cirúrgico determinado pelo juízo competente (processo judicial nº 0700328-20.2016.8.02.9000).</w:t>
      </w:r>
    </w:p>
    <w:p w:rsidR="0032430F" w:rsidRPr="0052072F" w:rsidRDefault="0032430F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lastRenderedPageBreak/>
        <w:t xml:space="preserve">e) À fl. 25 consta despacho s/nº, da lavra da Coordenadora do </w:t>
      </w:r>
      <w:r w:rsidR="000F06CE" w:rsidRPr="0052072F">
        <w:rPr>
          <w:rFonts w:asciiTheme="minorHAnsi" w:hAnsiTheme="minorHAnsi" w:cstheme="minorHAnsi"/>
          <w:sz w:val="20"/>
          <w:szCs w:val="20"/>
        </w:rPr>
        <w:t xml:space="preserve">Núcleo de Processos Judiciais de Procedimentos, </w:t>
      </w:r>
      <w:r w:rsidR="00E34D13" w:rsidRPr="0052072F">
        <w:rPr>
          <w:rFonts w:asciiTheme="minorHAnsi" w:hAnsiTheme="minorHAnsi" w:cstheme="minorHAnsi"/>
          <w:sz w:val="20"/>
          <w:szCs w:val="20"/>
        </w:rPr>
        <w:t xml:space="preserve">Sra. Maria das Graças </w:t>
      </w:r>
      <w:proofErr w:type="spellStart"/>
      <w:r w:rsidR="00E34D13" w:rsidRPr="0052072F">
        <w:rPr>
          <w:rFonts w:asciiTheme="minorHAnsi" w:hAnsiTheme="minorHAnsi" w:cstheme="minorHAnsi"/>
          <w:sz w:val="20"/>
          <w:szCs w:val="20"/>
        </w:rPr>
        <w:t>Perciano</w:t>
      </w:r>
      <w:proofErr w:type="spellEnd"/>
      <w:r w:rsidR="00E34D13" w:rsidRPr="0052072F">
        <w:rPr>
          <w:rFonts w:asciiTheme="minorHAnsi" w:hAnsiTheme="minorHAnsi" w:cstheme="minorHAnsi"/>
          <w:sz w:val="20"/>
          <w:szCs w:val="20"/>
        </w:rPr>
        <w:t xml:space="preserve"> Lopes, </w:t>
      </w:r>
      <w:r w:rsidR="000F06CE" w:rsidRPr="0052072F">
        <w:rPr>
          <w:rFonts w:asciiTheme="minorHAnsi" w:hAnsiTheme="minorHAnsi" w:cstheme="minorHAnsi"/>
          <w:sz w:val="20"/>
          <w:szCs w:val="20"/>
        </w:rPr>
        <w:t xml:space="preserve">declarando, dentre outras informações, </w:t>
      </w:r>
      <w:r w:rsidR="000F06CE" w:rsidRPr="0052072F">
        <w:rPr>
          <w:rFonts w:asciiTheme="minorHAnsi" w:hAnsiTheme="minorHAnsi" w:cstheme="minorHAnsi"/>
          <w:i/>
          <w:sz w:val="20"/>
          <w:szCs w:val="20"/>
        </w:rPr>
        <w:t xml:space="preserve">“que o procedimento não está sendo realizado atualmente através do SUS e consta nos autos (fl. 13) orçamento do Instituto da Visão para realização da cirurgia pela Dra. </w:t>
      </w:r>
      <w:proofErr w:type="spellStart"/>
      <w:r w:rsidR="000F06CE" w:rsidRPr="0052072F">
        <w:rPr>
          <w:rFonts w:asciiTheme="minorHAnsi" w:hAnsiTheme="minorHAnsi" w:cstheme="minorHAnsi"/>
          <w:i/>
          <w:sz w:val="20"/>
          <w:szCs w:val="20"/>
        </w:rPr>
        <w:t>Sarelena</w:t>
      </w:r>
      <w:proofErr w:type="spellEnd"/>
      <w:r w:rsidR="000F06CE" w:rsidRPr="0052072F">
        <w:rPr>
          <w:rFonts w:asciiTheme="minorHAnsi" w:hAnsiTheme="minorHAnsi" w:cstheme="minorHAnsi"/>
          <w:i/>
          <w:sz w:val="20"/>
          <w:szCs w:val="20"/>
        </w:rPr>
        <w:t xml:space="preserve"> Vanderlei Alves, no valor de R$ 4.700,00 (quatro mil e setecentos reais)”</w:t>
      </w:r>
      <w:r w:rsidR="000F06CE" w:rsidRPr="0052072F">
        <w:rPr>
          <w:rFonts w:asciiTheme="minorHAnsi" w:hAnsiTheme="minorHAnsi" w:cstheme="minorHAnsi"/>
          <w:sz w:val="20"/>
          <w:szCs w:val="20"/>
        </w:rPr>
        <w:t xml:space="preserve">. </w:t>
      </w:r>
      <w:r w:rsidR="000F06CE" w:rsidRPr="0052072F">
        <w:rPr>
          <w:rFonts w:asciiTheme="minorHAnsi" w:hAnsiTheme="minorHAnsi" w:cstheme="minorHAnsi"/>
          <w:b/>
          <w:sz w:val="20"/>
          <w:szCs w:val="20"/>
        </w:rPr>
        <w:t>Resta necessário, contudo, a apresentação de justificativas sobre a não realização do procedimento através do Sistema Único de Saúde, tendo em vista os estabelecimentos de saúde relacionados às fls. 23/24, dentre eles o Instituto da Visão (CNPJ 70.014.030/0001-32).</w:t>
      </w:r>
    </w:p>
    <w:p w:rsidR="00D95FF9" w:rsidRPr="0052072F" w:rsidRDefault="00FA6AD3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i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f) Às fls. 27/28 consta autorização da Secretária de Estado da Saúde para realização do procedimento cirúrgico </w:t>
      </w:r>
      <w:r w:rsidR="006F66C3" w:rsidRPr="0052072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6F66C3" w:rsidRPr="0052072F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6F66C3" w:rsidRPr="0052072F">
        <w:rPr>
          <w:rFonts w:asciiTheme="minorHAnsi" w:hAnsiTheme="minorHAnsi" w:cstheme="minorHAnsi"/>
          <w:i/>
          <w:sz w:val="20"/>
          <w:szCs w:val="20"/>
        </w:rPr>
        <w:t>.</w:t>
      </w:r>
    </w:p>
    <w:p w:rsidR="006F66C3" w:rsidRPr="0052072F" w:rsidRDefault="006F66C3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g) À fl. 29 consta informação orçamentária da lavra da Gerência de Planejamento e Orçamento – GERPLOR/SESAU.</w:t>
      </w:r>
    </w:p>
    <w:p w:rsidR="006F66C3" w:rsidRPr="0052072F" w:rsidRDefault="006F66C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h) À fl. 30 acostou-se Certificado de Registro Cadastral (fl. 30). Registre-se a ausência dos documentos de regularidade fiscal e habilitação jurídica descritos nos artigos 28 a 31 da Lei nº 8.666/93. Em tempo, alerte-se para o que dispõe o certificado:</w:t>
      </w:r>
    </w:p>
    <w:p w:rsidR="006F66C3" w:rsidRPr="0052072F" w:rsidRDefault="006F66C3" w:rsidP="0052072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072F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52072F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52072F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10CC6" w:rsidRPr="0052072F" w:rsidRDefault="006F66C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i</w:t>
      </w:r>
      <w:r w:rsidR="00AF6A44" w:rsidRPr="0052072F">
        <w:rPr>
          <w:rFonts w:asciiTheme="minorHAnsi" w:hAnsiTheme="minorHAnsi" w:cstheme="minorHAnsi"/>
          <w:sz w:val="20"/>
          <w:szCs w:val="20"/>
        </w:rPr>
        <w:t>) À fl.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sz w:val="20"/>
          <w:szCs w:val="20"/>
        </w:rPr>
        <w:t>31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E34D13" w:rsidRPr="0052072F">
        <w:rPr>
          <w:rFonts w:asciiTheme="minorHAnsi" w:hAnsiTheme="minorHAnsi" w:cstheme="minorHAnsi"/>
          <w:sz w:val="20"/>
          <w:szCs w:val="20"/>
        </w:rPr>
        <w:t>11862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480FB4" w:rsidRPr="0052072F">
        <w:rPr>
          <w:rFonts w:asciiTheme="minorHAnsi" w:hAnsiTheme="minorHAnsi" w:cstheme="minorHAnsi"/>
          <w:sz w:val="20"/>
          <w:szCs w:val="20"/>
        </w:rPr>
        <w:t>30</w:t>
      </w:r>
      <w:r w:rsidR="00AF6A44" w:rsidRPr="0052072F">
        <w:rPr>
          <w:rFonts w:asciiTheme="minorHAnsi" w:hAnsiTheme="minorHAnsi" w:cstheme="minorHAnsi"/>
          <w:sz w:val="20"/>
          <w:szCs w:val="20"/>
        </w:rPr>
        <w:t>/</w:t>
      </w:r>
      <w:r w:rsidR="00E34D13" w:rsidRPr="0052072F">
        <w:rPr>
          <w:rFonts w:asciiTheme="minorHAnsi" w:hAnsiTheme="minorHAnsi" w:cstheme="minorHAnsi"/>
          <w:sz w:val="20"/>
          <w:szCs w:val="20"/>
        </w:rPr>
        <w:t>09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/2016 e assinada pelo Gerente Financeiro, Sr. </w:t>
      </w:r>
      <w:proofErr w:type="spellStart"/>
      <w:r w:rsidR="00AF6A44" w:rsidRPr="0052072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52072F">
        <w:rPr>
          <w:rFonts w:asciiTheme="minorHAnsi" w:hAnsiTheme="minorHAnsi" w:cstheme="minorHAnsi"/>
          <w:sz w:val="20"/>
          <w:szCs w:val="20"/>
        </w:rPr>
        <w:t xml:space="preserve"> Dionísio. 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52072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52072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52072F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52072F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F6A44" w:rsidRPr="0052072F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F6A44" w:rsidRPr="0052072F">
        <w:rPr>
          <w:rFonts w:asciiTheme="minorHAnsi" w:hAnsiTheme="minorHAnsi" w:cstheme="minorHAnsi"/>
          <w:sz w:val="20"/>
          <w:szCs w:val="20"/>
        </w:rPr>
        <w:t>.</w:t>
      </w:r>
      <w:r w:rsidR="00E10CC6" w:rsidRPr="005207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0CC6" w:rsidRPr="0052072F" w:rsidRDefault="00E10CC6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2072F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52072F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52072F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52072F">
        <w:rPr>
          <w:rFonts w:asciiTheme="minorHAnsi" w:hAnsiTheme="minorHAnsi" w:cstheme="minorHAnsi"/>
          <w:b/>
          <w:sz w:val="20"/>
          <w:szCs w:val="20"/>
        </w:rPr>
        <w:t>”</w:t>
      </w:r>
      <w:r w:rsidRPr="0052072F">
        <w:rPr>
          <w:rFonts w:asciiTheme="minorHAnsi" w:hAnsiTheme="minorHAnsi" w:cstheme="minorHAnsi"/>
          <w:sz w:val="20"/>
          <w:szCs w:val="20"/>
        </w:rPr>
        <w:t xml:space="preserve"> (sem grifos no original)</w:t>
      </w:r>
    </w:p>
    <w:p w:rsidR="00AF6A44" w:rsidRPr="0052072F" w:rsidRDefault="00E34D1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lastRenderedPageBreak/>
        <w:t>j</w:t>
      </w:r>
      <w:r w:rsidR="001373D5" w:rsidRPr="0052072F">
        <w:rPr>
          <w:rFonts w:asciiTheme="minorHAnsi" w:hAnsiTheme="minorHAnsi" w:cstheme="minorHAnsi"/>
          <w:sz w:val="20"/>
          <w:szCs w:val="20"/>
        </w:rPr>
        <w:t>)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 À fl. </w:t>
      </w:r>
      <w:r w:rsidRPr="0052072F">
        <w:rPr>
          <w:rFonts w:asciiTheme="minorHAnsi" w:hAnsiTheme="minorHAnsi" w:cstheme="minorHAnsi"/>
          <w:sz w:val="20"/>
          <w:szCs w:val="20"/>
        </w:rPr>
        <w:t>32</w:t>
      </w:r>
      <w:r w:rsidR="00AF6A44" w:rsidRPr="0052072F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BB1BD6" w:rsidRPr="0052072F" w:rsidRDefault="00E34D1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k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52072F">
        <w:rPr>
          <w:rFonts w:asciiTheme="minorHAnsi" w:hAnsiTheme="minorHAnsi" w:cstheme="minorHAnsi"/>
          <w:sz w:val="20"/>
          <w:szCs w:val="20"/>
        </w:rPr>
        <w:t>33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 consta </w:t>
      </w:r>
      <w:r w:rsidRPr="0052072F">
        <w:rPr>
          <w:rFonts w:asciiTheme="minorHAnsi" w:hAnsiTheme="minorHAnsi" w:cstheme="minorHAnsi"/>
          <w:sz w:val="20"/>
          <w:szCs w:val="20"/>
        </w:rPr>
        <w:t xml:space="preserve">despacho s/nº, da lavra da Coordenadora do Núcleo de Processos Judiciais de Procedimentos da 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expediente da lavra da ATESP, </w:t>
      </w:r>
      <w:r w:rsidRPr="0052072F">
        <w:rPr>
          <w:rFonts w:asciiTheme="minorHAnsi" w:hAnsiTheme="minorHAnsi" w:cstheme="minorHAnsi"/>
          <w:sz w:val="20"/>
          <w:szCs w:val="20"/>
        </w:rPr>
        <w:t xml:space="preserve">Sra. Maria das Graças </w:t>
      </w:r>
      <w:proofErr w:type="spellStart"/>
      <w:r w:rsidRPr="0052072F">
        <w:rPr>
          <w:rFonts w:asciiTheme="minorHAnsi" w:hAnsiTheme="minorHAnsi" w:cstheme="minorHAnsi"/>
          <w:sz w:val="20"/>
          <w:szCs w:val="20"/>
        </w:rPr>
        <w:t>Perciano</w:t>
      </w:r>
      <w:proofErr w:type="spellEnd"/>
      <w:r w:rsidRPr="0052072F">
        <w:rPr>
          <w:rFonts w:asciiTheme="minorHAnsi" w:hAnsiTheme="minorHAnsi" w:cstheme="minorHAnsi"/>
          <w:sz w:val="20"/>
          <w:szCs w:val="20"/>
        </w:rPr>
        <w:t xml:space="preserve"> Lopes, 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através do qual fez juntada </w:t>
      </w:r>
      <w:r w:rsidRPr="0052072F">
        <w:rPr>
          <w:rFonts w:asciiTheme="minorHAnsi" w:hAnsiTheme="minorHAnsi" w:cstheme="minorHAnsi"/>
          <w:sz w:val="20"/>
          <w:szCs w:val="20"/>
        </w:rPr>
        <w:t xml:space="preserve">da 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BB1BD6" w:rsidRPr="0052072F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B1BD6" w:rsidRPr="0052072F">
        <w:rPr>
          <w:rFonts w:asciiTheme="minorHAnsi" w:hAnsiTheme="minorHAnsi" w:cstheme="minorHAnsi"/>
          <w:sz w:val="20"/>
          <w:szCs w:val="20"/>
        </w:rPr>
        <w:t xml:space="preserve"> nº </w:t>
      </w:r>
      <w:r w:rsidRPr="0052072F">
        <w:rPr>
          <w:rFonts w:asciiTheme="minorHAnsi" w:hAnsiTheme="minorHAnsi" w:cstheme="minorHAnsi"/>
          <w:sz w:val="20"/>
          <w:szCs w:val="20"/>
        </w:rPr>
        <w:t>11098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, atestada pela </w:t>
      </w:r>
      <w:r w:rsidRPr="0052072F">
        <w:rPr>
          <w:rFonts w:asciiTheme="minorHAnsi" w:hAnsiTheme="minorHAnsi" w:cstheme="minorHAnsi"/>
          <w:sz w:val="20"/>
          <w:szCs w:val="20"/>
        </w:rPr>
        <w:t>médica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sz w:val="20"/>
          <w:szCs w:val="20"/>
        </w:rPr>
        <w:t xml:space="preserve">responsável pelo procedimento, </w:t>
      </w:r>
      <w:proofErr w:type="spellStart"/>
      <w:r w:rsidRPr="0052072F">
        <w:rPr>
          <w:rFonts w:asciiTheme="minorHAnsi" w:hAnsiTheme="minorHAnsi" w:cstheme="minorHAnsi"/>
          <w:sz w:val="20"/>
          <w:szCs w:val="20"/>
        </w:rPr>
        <w:t>Drª</w:t>
      </w:r>
      <w:proofErr w:type="spellEnd"/>
      <w:r w:rsidRPr="005207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2072F">
        <w:rPr>
          <w:rFonts w:asciiTheme="minorHAnsi" w:hAnsiTheme="minorHAnsi" w:cstheme="minorHAnsi"/>
          <w:sz w:val="20"/>
          <w:szCs w:val="20"/>
        </w:rPr>
        <w:t>Sarelena</w:t>
      </w:r>
      <w:proofErr w:type="spellEnd"/>
      <w:r w:rsidRPr="0052072F">
        <w:rPr>
          <w:rFonts w:asciiTheme="minorHAnsi" w:hAnsiTheme="minorHAnsi" w:cstheme="minorHAnsi"/>
          <w:sz w:val="20"/>
          <w:szCs w:val="20"/>
        </w:rPr>
        <w:t xml:space="preserve"> V. Alves</w:t>
      </w:r>
      <w:r w:rsidR="00BB1BD6" w:rsidRPr="0052072F">
        <w:rPr>
          <w:rFonts w:asciiTheme="minorHAnsi" w:hAnsiTheme="minorHAnsi" w:cstheme="minorHAnsi"/>
          <w:sz w:val="20"/>
          <w:szCs w:val="20"/>
        </w:rPr>
        <w:t xml:space="preserve"> (fl. </w:t>
      </w:r>
      <w:r w:rsidRPr="0052072F">
        <w:rPr>
          <w:rFonts w:asciiTheme="minorHAnsi" w:hAnsiTheme="minorHAnsi" w:cstheme="minorHAnsi"/>
          <w:sz w:val="20"/>
          <w:szCs w:val="20"/>
        </w:rPr>
        <w:t>34</w:t>
      </w:r>
      <w:r w:rsidR="00BB1BD6" w:rsidRPr="0052072F">
        <w:rPr>
          <w:rFonts w:asciiTheme="minorHAnsi" w:hAnsiTheme="minorHAnsi" w:cstheme="minorHAnsi"/>
          <w:sz w:val="20"/>
          <w:szCs w:val="20"/>
        </w:rPr>
        <w:t>).</w:t>
      </w:r>
      <w:r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b/>
          <w:sz w:val="20"/>
          <w:szCs w:val="20"/>
        </w:rPr>
        <w:t>Alerte-se para a necessidade de atesto pelo servidor público competente pelo efetivo acompanhamento dos serviços prestados.</w:t>
      </w:r>
    </w:p>
    <w:p w:rsidR="00E34D13" w:rsidRPr="0052072F" w:rsidRDefault="00E34D1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l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) À fl. </w:t>
      </w:r>
      <w:r w:rsidRPr="0052072F">
        <w:rPr>
          <w:rFonts w:asciiTheme="minorHAnsi" w:hAnsiTheme="minorHAnsi" w:cstheme="minorHAnsi"/>
          <w:sz w:val="20"/>
          <w:szCs w:val="20"/>
        </w:rPr>
        <w:t>39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 consta </w:t>
      </w:r>
      <w:r w:rsidRPr="0052072F">
        <w:rPr>
          <w:rFonts w:asciiTheme="minorHAnsi" w:hAnsiTheme="minorHAnsi" w:cstheme="minorHAnsi"/>
          <w:sz w:val="20"/>
          <w:szCs w:val="20"/>
        </w:rPr>
        <w:t xml:space="preserve">Nota Técnica, expedida pela Gerência de Auditoria, declarando, dentre outras informações, “que o paciente 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JOÃO PAULO DOS </w:t>
      </w:r>
      <w:proofErr w:type="gramStart"/>
      <w:r w:rsidRPr="0052072F">
        <w:rPr>
          <w:rFonts w:asciiTheme="minorHAnsi" w:hAnsiTheme="minorHAnsi" w:cstheme="minorHAnsi"/>
          <w:b/>
          <w:sz w:val="20"/>
          <w:szCs w:val="20"/>
        </w:rPr>
        <w:t>SANTOS SILVA</w:t>
      </w:r>
      <w:proofErr w:type="gramEnd"/>
      <w:r w:rsidRPr="0052072F">
        <w:rPr>
          <w:rFonts w:asciiTheme="minorHAnsi" w:hAnsiTheme="minorHAnsi" w:cstheme="minorHAnsi"/>
          <w:sz w:val="20"/>
          <w:szCs w:val="20"/>
        </w:rPr>
        <w:t xml:space="preserve"> foi submetido ao procedimento cirúrgico: correção de estrabismo </w:t>
      </w:r>
      <w:proofErr w:type="spellStart"/>
      <w:r w:rsidRPr="0052072F">
        <w:rPr>
          <w:rFonts w:asciiTheme="minorHAnsi" w:hAnsiTheme="minorHAnsi" w:cstheme="minorHAnsi"/>
          <w:sz w:val="20"/>
          <w:szCs w:val="20"/>
        </w:rPr>
        <w:t>O.E.</w:t>
      </w:r>
      <w:proofErr w:type="spellEnd"/>
      <w:r w:rsidRPr="0052072F">
        <w:rPr>
          <w:rFonts w:asciiTheme="minorHAnsi" w:hAnsiTheme="minorHAnsi" w:cstheme="minorHAnsi"/>
          <w:sz w:val="20"/>
          <w:szCs w:val="20"/>
        </w:rPr>
        <w:t xml:space="preserve"> (olho esquerdo), no INSTITUTO DA VISÃO DE MACEIÓ.</w:t>
      </w:r>
    </w:p>
    <w:p w:rsidR="00D5167E" w:rsidRPr="0052072F" w:rsidRDefault="00E34D13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m) À fl. 42 consta </w:t>
      </w:r>
      <w:r w:rsidR="00D5167E" w:rsidRPr="0052072F">
        <w:rPr>
          <w:rFonts w:asciiTheme="minorHAnsi" w:hAnsiTheme="minorHAnsi" w:cstheme="minorHAnsi"/>
          <w:sz w:val="20"/>
          <w:szCs w:val="20"/>
        </w:rPr>
        <w:t>despacho s/nº</w:t>
      </w:r>
      <w:r w:rsidRPr="0052072F">
        <w:rPr>
          <w:rFonts w:asciiTheme="minorHAnsi" w:hAnsiTheme="minorHAnsi" w:cstheme="minorHAnsi"/>
          <w:sz w:val="20"/>
          <w:szCs w:val="20"/>
        </w:rPr>
        <w:t xml:space="preserve">, 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da </w:t>
      </w:r>
      <w:r w:rsidRPr="0052072F">
        <w:rPr>
          <w:rFonts w:asciiTheme="minorHAnsi" w:hAnsiTheme="minorHAnsi" w:cstheme="minorHAnsi"/>
          <w:sz w:val="20"/>
          <w:szCs w:val="20"/>
        </w:rPr>
        <w:t xml:space="preserve">lavra da 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Superintendente de Planejamento, Orçamento, Finanças e Contabilidade, com determinação de diligências internas. Nesse sentido, constam encaminhamentos </w:t>
      </w:r>
      <w:r w:rsidR="00317D22" w:rsidRPr="0052072F">
        <w:rPr>
          <w:rFonts w:asciiTheme="minorHAnsi" w:hAnsiTheme="minorHAnsi" w:cstheme="minorHAnsi"/>
          <w:sz w:val="20"/>
          <w:szCs w:val="20"/>
        </w:rPr>
        <w:t>ao Núcleo de Processos Judiciais de Procedimentos – NUCPJP e à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 Assessoria Técnica </w:t>
      </w:r>
      <w:r w:rsidR="00317D22" w:rsidRPr="0052072F">
        <w:rPr>
          <w:rFonts w:asciiTheme="minorHAnsi" w:hAnsiTheme="minorHAnsi" w:cstheme="minorHAnsi"/>
          <w:sz w:val="20"/>
          <w:szCs w:val="20"/>
        </w:rPr>
        <w:t>–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 ASTEC</w:t>
      </w:r>
      <w:r w:rsidR="00317D22" w:rsidRPr="0052072F">
        <w:rPr>
          <w:rFonts w:asciiTheme="minorHAnsi" w:hAnsiTheme="minorHAnsi" w:cstheme="minorHAnsi"/>
          <w:sz w:val="20"/>
          <w:szCs w:val="20"/>
        </w:rPr>
        <w:t xml:space="preserve">, 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cujas devolutivas evidenciam-se às fls. </w:t>
      </w:r>
      <w:r w:rsidR="00317D22" w:rsidRPr="0052072F">
        <w:rPr>
          <w:rFonts w:asciiTheme="minorHAnsi" w:hAnsiTheme="minorHAnsi" w:cstheme="minorHAnsi"/>
          <w:sz w:val="20"/>
          <w:szCs w:val="20"/>
        </w:rPr>
        <w:t>44</w:t>
      </w:r>
      <w:r w:rsidR="00D5167E" w:rsidRPr="0052072F">
        <w:rPr>
          <w:rFonts w:asciiTheme="minorHAnsi" w:hAnsiTheme="minorHAnsi" w:cstheme="minorHAnsi"/>
          <w:sz w:val="20"/>
          <w:szCs w:val="20"/>
        </w:rPr>
        <w:t>/</w:t>
      </w:r>
      <w:r w:rsidR="00317D22" w:rsidRPr="0052072F">
        <w:rPr>
          <w:rFonts w:asciiTheme="minorHAnsi" w:hAnsiTheme="minorHAnsi" w:cstheme="minorHAnsi"/>
          <w:sz w:val="20"/>
          <w:szCs w:val="20"/>
        </w:rPr>
        <w:t>50</w:t>
      </w:r>
      <w:r w:rsidR="00D5167E" w:rsidRPr="0052072F">
        <w:rPr>
          <w:rFonts w:asciiTheme="minorHAnsi" w:hAnsiTheme="minorHAnsi" w:cstheme="minorHAnsi"/>
          <w:sz w:val="20"/>
          <w:szCs w:val="20"/>
        </w:rPr>
        <w:t xml:space="preserve">. </w:t>
      </w:r>
      <w:r w:rsidR="00D5167E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317D22" w:rsidRPr="0052072F">
        <w:rPr>
          <w:rFonts w:asciiTheme="minorHAnsi" w:hAnsiTheme="minorHAnsi" w:cstheme="minorHAnsi"/>
          <w:b/>
          <w:sz w:val="20"/>
          <w:szCs w:val="20"/>
          <w:u w:val="single"/>
        </w:rPr>
        <w:t>48</w:t>
      </w:r>
      <w:r w:rsidR="00D5167E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44397F" w:rsidRPr="0052072F" w:rsidRDefault="00DC0DEC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n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) À fl. </w:t>
      </w:r>
      <w:r w:rsidR="00317D22" w:rsidRPr="0052072F">
        <w:rPr>
          <w:rFonts w:asciiTheme="minorHAnsi" w:hAnsiTheme="minorHAnsi" w:cstheme="minorHAnsi"/>
          <w:sz w:val="20"/>
          <w:szCs w:val="20"/>
        </w:rPr>
        <w:t>43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</w:t>
      </w:r>
      <w:r w:rsidR="0044397F" w:rsidRPr="0052072F">
        <w:rPr>
          <w:rFonts w:asciiTheme="minorHAnsi" w:hAnsiTheme="minorHAnsi" w:cstheme="minorHAnsi"/>
          <w:sz w:val="20"/>
          <w:szCs w:val="20"/>
        </w:rPr>
        <w:t xml:space="preserve">com </w:t>
      </w:r>
      <w:r w:rsidR="0044397F" w:rsidRPr="0052072F">
        <w:rPr>
          <w:rFonts w:asciiTheme="minorHAnsi" w:hAnsiTheme="minorHAnsi" w:cstheme="minorHAnsi"/>
          <w:b/>
          <w:sz w:val="20"/>
          <w:szCs w:val="20"/>
        </w:rPr>
        <w:t>RELATÓRIO RESTOS A PAGAR – NÃO PROCESSADOS</w:t>
      </w:r>
      <w:r w:rsidR="0044397F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em face da empresa </w:t>
      </w:r>
      <w:r w:rsidR="00317D22" w:rsidRPr="0052072F">
        <w:rPr>
          <w:rFonts w:asciiTheme="minorHAnsi" w:hAnsiTheme="minorHAnsi" w:cstheme="minorHAnsi"/>
          <w:b/>
          <w:sz w:val="20"/>
          <w:szCs w:val="20"/>
        </w:rPr>
        <w:t>Instituto da Visão</w:t>
      </w:r>
      <w:r w:rsidR="00E51A2B" w:rsidRPr="0052072F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317D22" w:rsidRPr="0052072F">
        <w:rPr>
          <w:rFonts w:asciiTheme="minorHAnsi" w:hAnsiTheme="minorHAnsi" w:cstheme="minorHAnsi"/>
          <w:b/>
          <w:sz w:val="20"/>
          <w:szCs w:val="20"/>
        </w:rPr>
        <w:t>70.014.030/0001-32</w:t>
      </w:r>
      <w:r w:rsidR="00E51A2B" w:rsidRPr="0052072F">
        <w:rPr>
          <w:rFonts w:asciiTheme="minorHAnsi" w:hAnsiTheme="minorHAnsi" w:cstheme="minorHAnsi"/>
          <w:b/>
          <w:sz w:val="20"/>
          <w:szCs w:val="20"/>
        </w:rPr>
        <w:t>)</w:t>
      </w:r>
      <w:r w:rsidR="00FC4680" w:rsidRPr="0052072F">
        <w:rPr>
          <w:rFonts w:asciiTheme="minorHAnsi" w:hAnsiTheme="minorHAnsi" w:cstheme="minorHAnsi"/>
          <w:b/>
          <w:sz w:val="20"/>
          <w:szCs w:val="20"/>
        </w:rPr>
        <w:t>.</w:t>
      </w:r>
      <w:r w:rsidR="001A64DF"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52072F" w:rsidRDefault="00DC0DEC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o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) À fl. </w:t>
      </w:r>
      <w:r w:rsidR="00317D22" w:rsidRPr="0052072F">
        <w:rPr>
          <w:rFonts w:asciiTheme="minorHAnsi" w:hAnsiTheme="minorHAnsi" w:cstheme="minorHAnsi"/>
          <w:sz w:val="20"/>
          <w:szCs w:val="20"/>
        </w:rPr>
        <w:t>49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317D22" w:rsidRPr="0052072F">
        <w:rPr>
          <w:rFonts w:asciiTheme="minorHAnsi" w:hAnsiTheme="minorHAnsi" w:cstheme="minorHAnsi"/>
          <w:sz w:val="20"/>
          <w:szCs w:val="20"/>
        </w:rPr>
        <w:t>02/10</w:t>
      </w:r>
      <w:r w:rsidR="000C0C88" w:rsidRPr="0052072F">
        <w:rPr>
          <w:rFonts w:asciiTheme="minorHAnsi" w:hAnsiTheme="minorHAnsi" w:cstheme="minorHAnsi"/>
          <w:sz w:val="20"/>
          <w:szCs w:val="20"/>
        </w:rPr>
        <w:t>/2017, ratificado pelo Secretário de Estado da Saúde, com breve relato dos autos e encaminhamento à Controladoria Geral do Estado para análise quanto à possibilidade do pagamento pleiteado.</w:t>
      </w:r>
    </w:p>
    <w:p w:rsidR="000C0C88" w:rsidRPr="0052072F" w:rsidRDefault="00DC0DEC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p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) À fl. </w:t>
      </w:r>
      <w:r w:rsidR="00317D22" w:rsidRPr="0052072F">
        <w:rPr>
          <w:rFonts w:asciiTheme="minorHAnsi" w:hAnsiTheme="minorHAnsi" w:cstheme="minorHAnsi"/>
          <w:sz w:val="20"/>
          <w:szCs w:val="20"/>
        </w:rPr>
        <w:t>51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0C0C88" w:rsidRPr="0052072F" w:rsidRDefault="000C0C88" w:rsidP="0052072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52072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52072F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contratação.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52072F" w:rsidRDefault="000C0C88" w:rsidP="0052072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Cs/>
          <w:sz w:val="20"/>
          <w:szCs w:val="20"/>
        </w:rPr>
        <w:t>No</w:t>
      </w:r>
      <w:r w:rsidRPr="0052072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52072F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52072F" w:rsidRDefault="000C0C88" w:rsidP="005207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52072F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2072F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52072F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52072F">
        <w:rPr>
          <w:rFonts w:asciiTheme="minorHAnsi" w:hAnsiTheme="minorHAnsi" w:cstheme="minorHAnsi"/>
          <w:sz w:val="20"/>
          <w:szCs w:val="20"/>
        </w:rPr>
        <w:t xml:space="preserve">. </w:t>
      </w:r>
      <w:r w:rsidRPr="0052072F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3A6405" w:rsidRPr="0052072F">
        <w:rPr>
          <w:rFonts w:asciiTheme="minorHAnsi" w:hAnsiTheme="minorHAnsi" w:cstheme="minorHAnsi"/>
          <w:b/>
          <w:sz w:val="20"/>
          <w:szCs w:val="20"/>
        </w:rPr>
        <w:t>.</w:t>
      </w:r>
      <w:r w:rsidR="0052072F"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4A14" w:rsidRPr="0052072F">
        <w:rPr>
          <w:rFonts w:asciiTheme="minorHAnsi" w:hAnsiTheme="minorHAnsi" w:cstheme="minorHAnsi"/>
          <w:b/>
          <w:sz w:val="20"/>
          <w:szCs w:val="20"/>
        </w:rPr>
        <w:t>31</w:t>
      </w:r>
      <w:r w:rsidRPr="0052072F">
        <w:rPr>
          <w:rFonts w:asciiTheme="minorHAnsi" w:hAnsiTheme="minorHAnsi" w:cstheme="minorHAnsi"/>
          <w:b/>
          <w:sz w:val="20"/>
          <w:szCs w:val="20"/>
        </w:rPr>
        <w:t>).</w:t>
      </w:r>
    </w:p>
    <w:p w:rsidR="000C0C88" w:rsidRPr="0052072F" w:rsidRDefault="000C0C88" w:rsidP="0052072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52072F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2072F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52072F" w:rsidRDefault="000C0C88" w:rsidP="005207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52072F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52072F" w:rsidRDefault="000C0C88" w:rsidP="0052072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52072F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52072F" w:rsidRDefault="000C0C88" w:rsidP="005207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52072F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52072F" w:rsidRDefault="000C0C88" w:rsidP="0052072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52072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52072F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52072F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52072F" w:rsidRDefault="000C0C88" w:rsidP="0052072F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52072F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52072F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Pr="0052072F" w:rsidRDefault="000C0C88" w:rsidP="0052072F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52072F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E10CC6" w:rsidRPr="0052072F" w:rsidRDefault="00E10CC6" w:rsidP="0052072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Ademais, ressalte-se que inexiste nos autos parecer da Procuradoria Geral do Estado – PGE, que trata do que expõe a Lei Complementar Estadual nº 07/1991, no que concerne ao 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técnicos.</w:t>
      </w:r>
    </w:p>
    <w:p w:rsidR="000C0C88" w:rsidRPr="0052072F" w:rsidRDefault="000C0C88" w:rsidP="005207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52072F" w:rsidRPr="0052072F">
        <w:rPr>
          <w:rFonts w:asciiTheme="minorHAnsi" w:hAnsiTheme="minorHAnsi" w:cstheme="minorHAnsi"/>
          <w:sz w:val="20"/>
          <w:szCs w:val="20"/>
        </w:rPr>
        <w:t>alertem-se</w:t>
      </w:r>
      <w:r w:rsidRPr="0052072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C4680" w:rsidRPr="0052072F" w:rsidRDefault="000C0C88" w:rsidP="0052072F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="00D04A14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ESCLARECIMENTOS SOBRE AS CIRCUNSTÂNCIAS QUE LEVARÃO </w:t>
      </w:r>
      <w:proofErr w:type="gramStart"/>
      <w:r w:rsidR="00D04A14" w:rsidRPr="0052072F">
        <w:rPr>
          <w:rFonts w:asciiTheme="minorHAnsi" w:hAnsiTheme="minorHAnsi" w:cstheme="minorHAnsi"/>
          <w:b/>
          <w:sz w:val="20"/>
          <w:szCs w:val="20"/>
          <w:u w:val="single"/>
        </w:rPr>
        <w:t>À</w:t>
      </w:r>
      <w:proofErr w:type="gramEnd"/>
      <w:r w:rsidR="00D04A14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 NÃO REALIZAÇÃO DO PROCEDIMENTO PELO SISTEMA ÚNICO DE SAÚDE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sz w:val="20"/>
          <w:szCs w:val="20"/>
        </w:rPr>
        <w:t xml:space="preserve">– </w:t>
      </w:r>
      <w:r w:rsidR="00D04A14" w:rsidRPr="0052072F">
        <w:rPr>
          <w:rFonts w:asciiTheme="minorHAnsi" w:hAnsiTheme="minorHAnsi" w:cstheme="minorHAnsi"/>
          <w:sz w:val="20"/>
          <w:szCs w:val="20"/>
        </w:rPr>
        <w:t xml:space="preserve">Considerando as informações contidas nos autos </w:t>
      </w:r>
      <w:r w:rsidR="00D04A14" w:rsidRPr="0052072F">
        <w:rPr>
          <w:rFonts w:asciiTheme="minorHAnsi" w:hAnsiTheme="minorHAnsi" w:cstheme="minorHAnsi"/>
          <w:sz w:val="20"/>
          <w:szCs w:val="20"/>
        </w:rPr>
        <w:lastRenderedPageBreak/>
        <w:t xml:space="preserve">sobre a possibilidade de realização do procedimento </w:t>
      </w:r>
      <w:proofErr w:type="spellStart"/>
      <w:r w:rsidR="00D04A14" w:rsidRPr="0052072F">
        <w:rPr>
          <w:rFonts w:asciiTheme="minorHAnsi" w:hAnsiTheme="minorHAnsi" w:cstheme="minorHAnsi"/>
          <w:sz w:val="20"/>
          <w:szCs w:val="20"/>
        </w:rPr>
        <w:t>judicializado</w:t>
      </w:r>
      <w:proofErr w:type="spellEnd"/>
      <w:r w:rsidR="00D04A14" w:rsidRPr="0052072F">
        <w:rPr>
          <w:rFonts w:asciiTheme="minorHAnsi" w:hAnsiTheme="minorHAnsi" w:cstheme="minorHAnsi"/>
          <w:sz w:val="20"/>
          <w:szCs w:val="20"/>
        </w:rPr>
        <w:t xml:space="preserve"> pelo Sistema Único de Saúde –</w:t>
      </w:r>
      <w:r w:rsidR="00FC4680" w:rsidRPr="0052072F">
        <w:rPr>
          <w:rFonts w:asciiTheme="minorHAnsi" w:hAnsiTheme="minorHAnsi" w:cstheme="minorHAnsi"/>
          <w:sz w:val="20"/>
          <w:szCs w:val="20"/>
        </w:rPr>
        <w:t xml:space="preserve"> SUS, resta indispensável o esclarecimento acerca da necessidade de contratação d</w:t>
      </w:r>
      <w:r w:rsidR="001A64DF" w:rsidRPr="0052072F">
        <w:rPr>
          <w:rFonts w:asciiTheme="minorHAnsi" w:hAnsiTheme="minorHAnsi" w:cstheme="minorHAnsi"/>
          <w:sz w:val="20"/>
          <w:szCs w:val="20"/>
        </w:rPr>
        <w:t>os</w:t>
      </w:r>
      <w:r w:rsidR="00FC4680" w:rsidRPr="0052072F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1A64DF" w:rsidRPr="0052072F">
        <w:rPr>
          <w:rFonts w:asciiTheme="minorHAnsi" w:hAnsiTheme="minorHAnsi" w:cstheme="minorHAnsi"/>
          <w:sz w:val="20"/>
          <w:szCs w:val="20"/>
        </w:rPr>
        <w:t xml:space="preserve">em tela </w:t>
      </w:r>
      <w:r w:rsidR="00FC4680" w:rsidRPr="0052072F">
        <w:rPr>
          <w:rFonts w:asciiTheme="minorHAnsi" w:hAnsiTheme="minorHAnsi" w:cstheme="minorHAnsi"/>
          <w:sz w:val="20"/>
          <w:szCs w:val="20"/>
        </w:rPr>
        <w:t>na rede privada.</w:t>
      </w:r>
    </w:p>
    <w:p w:rsidR="00FC4680" w:rsidRPr="0052072F" w:rsidRDefault="00FC4680" w:rsidP="0052072F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52072F">
        <w:rPr>
          <w:rFonts w:asciiTheme="minorHAnsi" w:hAnsiTheme="minorHAnsi" w:cstheme="minorHAnsi"/>
          <w:b/>
          <w:sz w:val="20"/>
          <w:szCs w:val="20"/>
          <w:u w:val="single"/>
        </w:rPr>
        <w:t>ESCLARECIMENTOS SOBRE OS PREÇOS COBRADOS PELO PRESTADOR DE SERVIÇOS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2072F">
        <w:rPr>
          <w:rFonts w:asciiTheme="minorHAnsi" w:hAnsiTheme="minorHAnsi" w:cstheme="minorHAnsi"/>
          <w:sz w:val="20"/>
          <w:szCs w:val="20"/>
        </w:rPr>
        <w:t>– Tendo em vista a ausência de procedimentos mínimos necessários à contratação da empresa Instituto da Visão (CNPJ 70.014.030/0001-32), revela-se oportuno, em proteção do interesse público, a demonstração de que o preço cobrado equipara-se àquele custeado pelo Sistema Público de Saúde em procedimentos idênticos, tendo em vista que a referida empresa integra o Cadastro Nacional de Estabelecimentos de Saúde – CNES.</w:t>
      </w:r>
    </w:p>
    <w:p w:rsidR="000C0C88" w:rsidRPr="0052072F" w:rsidRDefault="00FC4680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C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0C0C88" w:rsidRPr="0052072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1A64DF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 e PRIVADOS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0C88" w:rsidRPr="0052072F">
        <w:rPr>
          <w:rFonts w:asciiTheme="minorHAnsi" w:hAnsiTheme="minorHAnsi" w:cstheme="minorHAnsi"/>
          <w:sz w:val="20"/>
          <w:szCs w:val="20"/>
        </w:rPr>
        <w:t xml:space="preserve">– Diante da </w:t>
      </w:r>
      <w:r w:rsidRPr="0052072F">
        <w:rPr>
          <w:rFonts w:asciiTheme="minorHAnsi" w:hAnsiTheme="minorHAnsi" w:cstheme="minorHAnsi"/>
          <w:sz w:val="20"/>
          <w:szCs w:val="20"/>
        </w:rPr>
        <w:t xml:space="preserve">inobservância de </w:t>
      </w:r>
      <w:r w:rsidR="000C0C88" w:rsidRPr="0052072F">
        <w:rPr>
          <w:rFonts w:asciiTheme="minorHAnsi" w:hAnsiTheme="minorHAnsi" w:cstheme="minorHAnsi"/>
          <w:sz w:val="20"/>
          <w:szCs w:val="20"/>
        </w:rPr>
        <w:t>procedimento</w:t>
      </w:r>
      <w:r w:rsidRPr="0052072F">
        <w:rPr>
          <w:rFonts w:asciiTheme="minorHAnsi" w:hAnsiTheme="minorHAnsi" w:cstheme="minorHAnsi"/>
          <w:sz w:val="20"/>
          <w:szCs w:val="20"/>
        </w:rPr>
        <w:t>s legais necessários à contratação d</w:t>
      </w:r>
      <w:r w:rsidR="00652EDB" w:rsidRPr="0052072F">
        <w:rPr>
          <w:rFonts w:asciiTheme="minorHAnsi" w:hAnsiTheme="minorHAnsi" w:cstheme="minorHAnsi"/>
          <w:sz w:val="20"/>
          <w:szCs w:val="20"/>
        </w:rPr>
        <w:t>os</w:t>
      </w:r>
      <w:r w:rsidRPr="0052072F">
        <w:rPr>
          <w:rFonts w:asciiTheme="minorHAnsi" w:hAnsiTheme="minorHAnsi" w:cstheme="minorHAnsi"/>
          <w:sz w:val="20"/>
          <w:szCs w:val="20"/>
        </w:rPr>
        <w:t xml:space="preserve"> serviços</w:t>
      </w:r>
      <w:r w:rsidR="00DD49DF" w:rsidRPr="0052072F">
        <w:rPr>
          <w:rFonts w:asciiTheme="minorHAnsi" w:hAnsiTheme="minorHAnsi" w:cstheme="minorHAnsi"/>
          <w:sz w:val="20"/>
          <w:szCs w:val="20"/>
        </w:rPr>
        <w:t xml:space="preserve"> </w:t>
      </w:r>
      <w:r w:rsidR="00652EDB" w:rsidRPr="0052072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652EDB" w:rsidRPr="0052072F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="000C0C88" w:rsidRPr="0052072F">
        <w:rPr>
          <w:rFonts w:asciiTheme="minorHAnsi" w:hAnsiTheme="minorHAnsi" w:cstheme="minorHAnsi"/>
          <w:sz w:val="20"/>
          <w:szCs w:val="20"/>
        </w:rPr>
        <w:t xml:space="preserve">, urge que se apure a conduta dos agentes públicos </w:t>
      </w:r>
      <w:r w:rsidR="001A64DF" w:rsidRPr="0052072F">
        <w:rPr>
          <w:rFonts w:asciiTheme="minorHAnsi" w:hAnsiTheme="minorHAnsi" w:cstheme="minorHAnsi"/>
          <w:sz w:val="20"/>
          <w:szCs w:val="20"/>
        </w:rPr>
        <w:t xml:space="preserve">e privados </w:t>
      </w:r>
      <w:r w:rsidR="000C0C88" w:rsidRPr="0052072F">
        <w:rPr>
          <w:rFonts w:asciiTheme="minorHAnsi" w:hAnsiTheme="minorHAnsi" w:cstheme="minorHAnsi"/>
          <w:sz w:val="20"/>
          <w:szCs w:val="20"/>
        </w:rPr>
        <w:t>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52072F" w:rsidRDefault="00652EDB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D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0C0C88" w:rsidRPr="0052072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0C0C88" w:rsidRPr="0052072F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52072F" w:rsidRDefault="00652EDB" w:rsidP="0052072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E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0C0C88" w:rsidRPr="0052072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0C88" w:rsidRPr="0052072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52072F" w:rsidRDefault="00652EDB" w:rsidP="0052072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F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0C0C88" w:rsidRPr="0052072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="000C0C88" w:rsidRPr="005207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C0C88" w:rsidRPr="0052072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373337" w:rsidRPr="0052072F" w:rsidRDefault="000C0C88" w:rsidP="005207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52072F">
        <w:rPr>
          <w:rFonts w:asciiTheme="minorHAnsi" w:hAnsiTheme="minorHAnsi" w:cstheme="minorHAnsi"/>
          <w:sz w:val="20"/>
          <w:szCs w:val="20"/>
        </w:rPr>
        <w:t>a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A64DF" w:rsidRPr="0052072F">
        <w:rPr>
          <w:rFonts w:asciiTheme="minorHAnsi" w:hAnsiTheme="minorHAnsi" w:cstheme="minorHAnsi"/>
          <w:b/>
          <w:sz w:val="20"/>
          <w:szCs w:val="20"/>
        </w:rPr>
        <w:t>F</w:t>
      </w:r>
      <w:r w:rsidRPr="0052072F">
        <w:rPr>
          <w:rFonts w:asciiTheme="minorHAnsi" w:hAnsiTheme="minorHAnsi" w:cstheme="minorHAnsi"/>
          <w:b/>
          <w:sz w:val="20"/>
          <w:szCs w:val="20"/>
        </w:rPr>
        <w:t xml:space="preserve">”. </w:t>
      </w:r>
      <w:r w:rsidRPr="0052072F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652EDB" w:rsidRPr="0052072F">
        <w:rPr>
          <w:rFonts w:asciiTheme="minorHAnsi" w:hAnsiTheme="minorHAnsi" w:cstheme="minorHAnsi"/>
          <w:sz w:val="20"/>
          <w:szCs w:val="20"/>
        </w:rPr>
        <w:t>Instituto da Visão (CNPJ 70.014.030/0001-32)</w:t>
      </w:r>
      <w:r w:rsidRPr="0052072F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52072F">
        <w:rPr>
          <w:rFonts w:asciiTheme="minorHAnsi" w:hAnsiTheme="minorHAnsi" w:cstheme="minorHAnsi"/>
          <w:sz w:val="20"/>
          <w:szCs w:val="20"/>
        </w:rPr>
        <w:t>nº 51.828/2017.</w:t>
      </w:r>
    </w:p>
    <w:p w:rsidR="00D5167E" w:rsidRPr="0052072F" w:rsidRDefault="00D5167E" w:rsidP="005207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44397F" w:rsidRPr="0052072F" w:rsidRDefault="0044397F" w:rsidP="0052072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72F" w:rsidRPr="0052072F" w:rsidRDefault="0052072F" w:rsidP="0052072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2072F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52072F" w:rsidRPr="0052072F" w:rsidRDefault="0052072F" w:rsidP="0052072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72F" w:rsidRPr="0052072F" w:rsidRDefault="0052072F" w:rsidP="0052072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072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52072F" w:rsidRPr="0052072F" w:rsidRDefault="0052072F" w:rsidP="0052072F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52072F" w:rsidRPr="0052072F" w:rsidRDefault="0052072F" w:rsidP="005207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Acolho o Parecer.</w:t>
      </w:r>
    </w:p>
    <w:p w:rsidR="0052072F" w:rsidRPr="0052072F" w:rsidRDefault="0052072F" w:rsidP="005207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2072F" w:rsidRPr="0052072F" w:rsidRDefault="0052072F" w:rsidP="005207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07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2072F" w:rsidRPr="0052072F" w:rsidRDefault="0052072F" w:rsidP="005207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072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52072F" w:rsidRPr="009F669B" w:rsidRDefault="0052072F" w:rsidP="0052072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14220" w:rsidRPr="0052072F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52072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F13" w:rsidRDefault="00916F13" w:rsidP="003068B9">
      <w:pPr>
        <w:spacing w:after="0" w:line="240" w:lineRule="auto"/>
      </w:pPr>
      <w:r>
        <w:separator/>
      </w:r>
    </w:p>
  </w:endnote>
  <w:endnote w:type="continuationSeparator" w:id="0">
    <w:p w:rsidR="00916F13" w:rsidRDefault="00916F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F13" w:rsidRDefault="00916F13" w:rsidP="003068B9">
      <w:pPr>
        <w:spacing w:after="0" w:line="240" w:lineRule="auto"/>
      </w:pPr>
      <w:r>
        <w:separator/>
      </w:r>
    </w:p>
  </w:footnote>
  <w:footnote w:type="continuationSeparator" w:id="0">
    <w:p w:rsidR="00916F13" w:rsidRDefault="00916F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A63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9"/>
  </w:num>
  <w:num w:numId="12">
    <w:abstractNumId w:val="15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7"/>
  </w:num>
  <w:num w:numId="21">
    <w:abstractNumId w:val="16"/>
  </w:num>
  <w:num w:numId="22">
    <w:abstractNumId w:val="3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87CCC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A64DF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072F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6F13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6334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23F9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46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9F2C4-9878-4A2F-8C8E-4E499BC2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2244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2017-10-24T13:07:00Z</cp:lastPrinted>
  <dcterms:created xsi:type="dcterms:W3CDTF">2017-11-23T18:29:00Z</dcterms:created>
  <dcterms:modified xsi:type="dcterms:W3CDTF">2017-11-23T18:34:00Z</dcterms:modified>
</cp:coreProperties>
</file>