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6F56D1">
        <w:rPr>
          <w:rFonts w:asciiTheme="minorHAnsi" w:hAnsiTheme="minorHAnsi" w:cstheme="minorHAnsi"/>
          <w:bCs/>
        </w:rPr>
        <w:t>008753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181458">
        <w:rPr>
          <w:rFonts w:asciiTheme="minorHAnsi" w:hAnsiTheme="minorHAnsi" w:cstheme="minorHAnsi"/>
          <w:bCs/>
        </w:rPr>
        <w:t>3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6F56D1">
        <w:rPr>
          <w:rFonts w:asciiTheme="minorHAnsi" w:hAnsiTheme="minorHAnsi" w:cstheme="minorHAnsi"/>
          <w:b/>
          <w:bCs/>
        </w:rPr>
        <w:t>008753</w:t>
      </w:r>
      <w:r w:rsidRPr="00B80869">
        <w:rPr>
          <w:rFonts w:asciiTheme="minorHAnsi" w:hAnsiTheme="minorHAnsi" w:cstheme="minorHAnsi"/>
          <w:b/>
          <w:bCs/>
        </w:rPr>
        <w:t>/201</w:t>
      </w:r>
      <w:r w:rsidR="00181458">
        <w:rPr>
          <w:rFonts w:asciiTheme="minorHAnsi" w:hAnsiTheme="minorHAnsi" w:cstheme="minorHAnsi"/>
          <w:b/>
          <w:bCs/>
        </w:rPr>
        <w:t>3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181458">
        <w:rPr>
          <w:rFonts w:asciiTheme="minorHAnsi" w:hAnsiTheme="minorHAnsi" w:cstheme="minorHAnsi"/>
        </w:rPr>
        <w:t>4</w:t>
      </w:r>
      <w:r w:rsidR="006F56D1">
        <w:rPr>
          <w:rFonts w:asciiTheme="minorHAnsi" w:hAnsiTheme="minorHAnsi" w:cstheme="minorHAnsi"/>
        </w:rPr>
        <w:t>1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181458">
        <w:rPr>
          <w:rFonts w:asciiTheme="minorHAnsi" w:hAnsiTheme="minorHAnsi" w:cstheme="minorHAnsi"/>
        </w:rPr>
        <w:t xml:space="preserve">quarenta e </w:t>
      </w:r>
      <w:r w:rsidR="006F56D1">
        <w:rPr>
          <w:rFonts w:asciiTheme="minorHAnsi" w:hAnsiTheme="minorHAnsi" w:cstheme="minorHAnsi"/>
        </w:rPr>
        <w:t>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181458">
        <w:rPr>
          <w:rFonts w:asciiTheme="minorHAnsi" w:hAnsiTheme="minorHAnsi" w:cstheme="minorHAnsi"/>
          <w:b/>
          <w:bCs/>
        </w:rPr>
        <w:t>BOXER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181458">
        <w:rPr>
          <w:rFonts w:asciiTheme="minorHAnsi" w:hAnsiTheme="minorHAnsi" w:cstheme="minorHAnsi"/>
          <w:b/>
          <w:bCs/>
        </w:rPr>
        <w:t>NMB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181458">
        <w:rPr>
          <w:rFonts w:asciiTheme="minorHAnsi" w:hAnsiTheme="minorHAnsi" w:cstheme="minorHAnsi"/>
          <w:b/>
          <w:bCs/>
        </w:rPr>
        <w:t>3590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E00674">
        <w:rPr>
          <w:rFonts w:asciiTheme="minorHAnsi" w:hAnsiTheme="minorHAnsi" w:cstheme="minorHAnsi"/>
        </w:rPr>
        <w:t>3.692,00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E00674">
        <w:rPr>
          <w:rFonts w:asciiTheme="minorHAnsi" w:hAnsiTheme="minorHAnsi" w:cstheme="minorHAnsi"/>
        </w:rPr>
        <w:t>três mil, seiscentos e noventa e dois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C8209D">
        <w:rPr>
          <w:rFonts w:asciiTheme="minorHAnsi" w:hAnsiTheme="minorHAnsi" w:cstheme="minorHAnsi"/>
          <w:b/>
        </w:rPr>
        <w:t xml:space="preserve">A. Freitas Moraes –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C8209D">
        <w:rPr>
          <w:rFonts w:asciiTheme="minorHAnsi" w:hAnsiTheme="minorHAnsi" w:cstheme="minorHAnsi"/>
          <w:b/>
        </w:rPr>
        <w:t>13.336.290/0001-90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C23A73">
        <w:rPr>
          <w:rFonts w:asciiTheme="minorHAnsi" w:hAnsiTheme="minorHAnsi" w:cstheme="minorHAnsi"/>
          <w:bCs/>
        </w:rPr>
        <w:t>032985</w:t>
      </w:r>
      <w:r w:rsidR="00F718AF" w:rsidRPr="00F718AF">
        <w:rPr>
          <w:rFonts w:asciiTheme="minorHAnsi" w:hAnsiTheme="minorHAnsi" w:cstheme="minorHAnsi"/>
          <w:bCs/>
        </w:rPr>
        <w:t>/201</w:t>
      </w:r>
      <w:r w:rsidR="00C23A73">
        <w:rPr>
          <w:rFonts w:asciiTheme="minorHAnsi" w:hAnsiTheme="minorHAnsi" w:cstheme="minorHAnsi"/>
          <w:bCs/>
        </w:rPr>
        <w:t>3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C23A73">
        <w:rPr>
          <w:rFonts w:asciiTheme="minorHAnsi" w:hAnsiTheme="minorHAnsi" w:cstheme="minorHAnsi"/>
        </w:rPr>
        <w:t>43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F11196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F11196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F11196" w:rsidRPr="00C51C78">
        <w:rPr>
          <w:rFonts w:asciiTheme="minorHAnsi" w:hAnsiTheme="minorHAnsi" w:cstheme="minorHAnsi"/>
          <w:b/>
        </w:rPr>
        <w:t>09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DA10E9" w:rsidRPr="00C51C78">
        <w:rPr>
          <w:rFonts w:asciiTheme="minorHAnsi" w:hAnsiTheme="minorHAnsi" w:cstheme="minorHAnsi"/>
          <w:b/>
        </w:rPr>
        <w:t xml:space="preserve">A. Freitas Moraes –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C23A73" w:rsidRPr="00C51C78">
        <w:rPr>
          <w:rFonts w:asciiTheme="minorHAnsi" w:hAnsiTheme="minorHAnsi" w:cstheme="minorHAnsi"/>
          <w:b/>
        </w:rPr>
        <w:t>13.336.290/0001-90</w:t>
      </w:r>
      <w:r w:rsidRPr="00C51C78">
        <w:rPr>
          <w:rFonts w:asciiTheme="minorHAnsi" w:hAnsiTheme="minorHAnsi" w:cstheme="minorHAnsi"/>
          <w:b/>
        </w:rPr>
        <w:t xml:space="preserve">); b) </w:t>
      </w:r>
      <w:r w:rsidR="00C23A73" w:rsidRPr="00C51C78">
        <w:rPr>
          <w:rFonts w:asciiTheme="minorHAnsi" w:hAnsiTheme="minorHAnsi" w:cstheme="minorHAnsi"/>
          <w:b/>
        </w:rPr>
        <w:t>Luiz Carlos de Souza Soares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C23A73" w:rsidRPr="00C51C78">
        <w:rPr>
          <w:rFonts w:asciiTheme="minorHAnsi" w:hAnsiTheme="minorHAnsi" w:cstheme="minorHAnsi"/>
          <w:b/>
        </w:rPr>
        <w:t>00.272.325/0001-23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C23A73" w:rsidRPr="00C51C78">
        <w:rPr>
          <w:rFonts w:asciiTheme="minorHAnsi" w:hAnsiTheme="minorHAnsi" w:cstheme="minorHAnsi"/>
          <w:b/>
        </w:rPr>
        <w:t>Márcio Roberto da Silva Cardoso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C23A73" w:rsidRPr="00C51C78">
        <w:rPr>
          <w:rFonts w:asciiTheme="minorHAnsi" w:hAnsiTheme="minorHAnsi" w:cstheme="minorHAnsi"/>
          <w:b/>
        </w:rPr>
        <w:t>09.553.738/0001-50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DA10E9" w:rsidRPr="00C51C78">
        <w:rPr>
          <w:rFonts w:asciiTheme="minorHAnsi" w:hAnsiTheme="minorHAnsi" w:cstheme="minorHAnsi"/>
          <w:b/>
        </w:rPr>
        <w:t>A. Freitas Moraes – (CNPJ 13.336.290/0001-90)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C51C78" w:rsidRPr="00C51C78">
        <w:rPr>
          <w:rFonts w:asciiTheme="minorHAnsi" w:hAnsiTheme="minorHAnsi" w:cstheme="minorHAnsi"/>
          <w:b/>
        </w:rPr>
        <w:t>R$ 3.692,00 (três mil, seiscentos e noventa e dois reais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6A5353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C23A73">
        <w:rPr>
          <w:rFonts w:asciiTheme="minorHAnsi" w:hAnsiTheme="minorHAnsi" w:cstheme="minorHAnsi"/>
        </w:rPr>
        <w:t>824</w:t>
      </w:r>
      <w:r w:rsidRPr="00B80869">
        <w:rPr>
          <w:rFonts w:asciiTheme="minorHAnsi" w:hAnsiTheme="minorHAnsi" w:cstheme="minorHAnsi"/>
        </w:rPr>
        <w:t>/</w:t>
      </w:r>
      <w:r w:rsidR="00C23A73">
        <w:rPr>
          <w:rFonts w:asciiTheme="minorHAnsi" w:hAnsiTheme="minorHAnsi" w:cstheme="minorHAnsi"/>
        </w:rPr>
        <w:t>2013</w:t>
      </w:r>
      <w:r w:rsidRPr="00B80869">
        <w:rPr>
          <w:rFonts w:asciiTheme="minorHAnsi" w:hAnsiTheme="minorHAnsi" w:cstheme="minorHAnsi"/>
        </w:rPr>
        <w:t xml:space="preserve">, datado de </w:t>
      </w:r>
      <w:r w:rsidR="00C23A73">
        <w:rPr>
          <w:rFonts w:asciiTheme="minorHAnsi" w:hAnsiTheme="minorHAnsi" w:cstheme="minorHAnsi"/>
        </w:rPr>
        <w:t>17</w:t>
      </w:r>
      <w:r w:rsidRPr="00B80869">
        <w:rPr>
          <w:rFonts w:asciiTheme="minorHAnsi" w:hAnsiTheme="minorHAnsi" w:cstheme="minorHAnsi"/>
        </w:rPr>
        <w:t>/</w:t>
      </w:r>
      <w:r w:rsidR="00C23A73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</w:t>
      </w:r>
      <w:r w:rsidR="00C23A73">
        <w:rPr>
          <w:rFonts w:asciiTheme="minorHAnsi" w:hAnsiTheme="minorHAnsi" w:cstheme="minorHAnsi"/>
        </w:rPr>
        <w:t>3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DA10E9">
        <w:rPr>
          <w:rFonts w:asciiTheme="minorHAnsi" w:hAnsiTheme="minorHAnsi" w:cstheme="minorHAnsi"/>
          <w:b/>
        </w:rPr>
        <w:t xml:space="preserve">A. Freitas </w:t>
      </w:r>
      <w:r w:rsidR="00DA10E9">
        <w:rPr>
          <w:rFonts w:asciiTheme="minorHAnsi" w:hAnsiTheme="minorHAnsi" w:cstheme="minorHAnsi"/>
          <w:b/>
        </w:rPr>
        <w:lastRenderedPageBreak/>
        <w:t xml:space="preserve">Moraes – </w:t>
      </w:r>
      <w:r w:rsidR="00DA10E9" w:rsidRPr="00B80869">
        <w:rPr>
          <w:rFonts w:asciiTheme="minorHAnsi" w:hAnsiTheme="minorHAnsi" w:cstheme="minorHAnsi"/>
          <w:b/>
        </w:rPr>
        <w:t xml:space="preserve">(CNPJ </w:t>
      </w:r>
      <w:r w:rsidR="00DA10E9">
        <w:rPr>
          <w:rFonts w:asciiTheme="minorHAnsi" w:hAnsiTheme="minorHAnsi" w:cstheme="minorHAnsi"/>
          <w:b/>
        </w:rPr>
        <w:t>13.336.290/0001-90</w:t>
      </w:r>
      <w:r w:rsidR="00DA10E9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313CB">
        <w:rPr>
          <w:rFonts w:asciiTheme="minorHAnsi" w:hAnsiTheme="minorHAnsi" w:cstheme="minorHAnsi"/>
        </w:rPr>
        <w:t xml:space="preserve">11 e </w:t>
      </w:r>
      <w:r w:rsidR="00DA10E9"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DA10E9">
        <w:rPr>
          <w:rFonts w:asciiTheme="minorHAnsi" w:hAnsiTheme="minorHAnsi" w:cstheme="minorHAnsi"/>
          <w:b/>
        </w:rPr>
        <w:t xml:space="preserve">A. Freitas Moraes – </w:t>
      </w:r>
      <w:r w:rsidR="00DA10E9" w:rsidRPr="00B80869">
        <w:rPr>
          <w:rFonts w:asciiTheme="minorHAnsi" w:hAnsiTheme="minorHAnsi" w:cstheme="minorHAnsi"/>
          <w:b/>
        </w:rPr>
        <w:t xml:space="preserve">(CNPJ </w:t>
      </w:r>
      <w:r w:rsidR="00DA10E9">
        <w:rPr>
          <w:rFonts w:asciiTheme="minorHAnsi" w:hAnsiTheme="minorHAnsi" w:cstheme="minorHAnsi"/>
          <w:b/>
        </w:rPr>
        <w:t>13.336.290/0001-90</w:t>
      </w:r>
      <w:r w:rsidR="00DA10E9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313CB">
        <w:rPr>
          <w:rFonts w:asciiTheme="minorHAnsi" w:hAnsiTheme="minorHAnsi" w:cstheme="minorHAnsi"/>
        </w:rPr>
        <w:t>12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 xml:space="preserve">4 – NOTA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</w:t>
      </w:r>
      <w:r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Pr="00D807C9">
        <w:rPr>
          <w:rFonts w:asciiTheme="minorHAnsi" w:hAnsiTheme="minorHAnsi" w:cstheme="minorHAnsi"/>
          <w:b/>
        </w:rPr>
        <w:t>NE</w:t>
      </w:r>
      <w:r w:rsidR="00DA10E9" w:rsidRPr="00D807C9">
        <w:rPr>
          <w:rFonts w:asciiTheme="minorHAnsi" w:hAnsiTheme="minorHAnsi" w:cstheme="minorHAnsi"/>
          <w:b/>
        </w:rPr>
        <w:t>19414</w:t>
      </w:r>
      <w:r w:rsidR="00127C32" w:rsidRPr="00B80869">
        <w:rPr>
          <w:rFonts w:asciiTheme="minorHAnsi" w:hAnsiTheme="minorHAnsi" w:cstheme="minorHAnsi"/>
        </w:rPr>
        <w:t xml:space="preserve"> e </w:t>
      </w:r>
      <w:r w:rsidR="00127C32"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="00127C32" w:rsidRPr="00D807C9">
        <w:rPr>
          <w:rFonts w:asciiTheme="minorHAnsi" w:hAnsiTheme="minorHAnsi" w:cstheme="minorHAnsi"/>
          <w:b/>
        </w:rPr>
        <w:t>NE</w:t>
      </w:r>
      <w:r w:rsidR="00DA10E9" w:rsidRPr="00D807C9">
        <w:rPr>
          <w:rFonts w:asciiTheme="minorHAnsi" w:hAnsiTheme="minorHAnsi" w:cstheme="minorHAnsi"/>
          <w:b/>
        </w:rPr>
        <w:t>19415</w:t>
      </w:r>
      <w:r w:rsidRPr="00B80869">
        <w:rPr>
          <w:rFonts w:asciiTheme="minorHAnsi" w:hAnsiTheme="minorHAnsi" w:cstheme="minorHAnsi"/>
        </w:rPr>
        <w:t xml:space="preserve">), </w:t>
      </w:r>
      <w:r w:rsidRPr="00D807C9">
        <w:rPr>
          <w:rFonts w:asciiTheme="minorHAnsi" w:hAnsiTheme="minorHAnsi" w:cstheme="minorHAnsi"/>
        </w:rPr>
        <w:t>à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 fl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. </w:t>
      </w:r>
      <w:r w:rsidR="00DA10E9" w:rsidRPr="00D807C9">
        <w:rPr>
          <w:rFonts w:asciiTheme="minorHAnsi" w:hAnsiTheme="minorHAnsi" w:cstheme="minorHAnsi"/>
        </w:rPr>
        <w:t>22</w:t>
      </w:r>
      <w:r w:rsidR="006A5353" w:rsidRPr="00D807C9">
        <w:rPr>
          <w:rFonts w:asciiTheme="minorHAnsi" w:hAnsiTheme="minorHAnsi" w:cstheme="minorHAnsi"/>
        </w:rPr>
        <w:t>/</w:t>
      </w:r>
      <w:r w:rsidR="00DD0102" w:rsidRPr="00D807C9">
        <w:rPr>
          <w:rFonts w:asciiTheme="minorHAnsi" w:hAnsiTheme="minorHAnsi" w:cstheme="minorHAnsi"/>
        </w:rPr>
        <w:t>2</w:t>
      </w:r>
      <w:r w:rsidR="00DA10E9" w:rsidRPr="00D807C9">
        <w:rPr>
          <w:rFonts w:asciiTheme="minorHAnsi" w:hAnsiTheme="minorHAnsi" w:cstheme="minorHAnsi"/>
        </w:rPr>
        <w:t>3</w:t>
      </w:r>
      <w:r w:rsidRPr="00D807C9">
        <w:rPr>
          <w:rFonts w:asciiTheme="minorHAnsi" w:hAnsiTheme="minorHAnsi" w:cstheme="minorHAnsi"/>
        </w:rPr>
        <w:t xml:space="preserve">, </w:t>
      </w:r>
      <w:r w:rsidR="00D807C9" w:rsidRPr="00D807C9">
        <w:rPr>
          <w:rFonts w:asciiTheme="minorHAnsi" w:hAnsiTheme="minorHAnsi" w:cstheme="minorHAnsi"/>
        </w:rPr>
        <w:t>foram assinadas pela Secretária de Estado Adjunta de Saúde, Sra. Julia M. F. Tenório Levino</w:t>
      </w:r>
      <w:r w:rsidRPr="00B80869">
        <w:rPr>
          <w:rFonts w:asciiTheme="minorHAnsi" w:hAnsiTheme="minorHAnsi" w:cstheme="minorHAnsi"/>
        </w:rPr>
        <w:t xml:space="preserve">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DD0102" w:rsidRPr="00DD0102">
        <w:rPr>
          <w:rFonts w:asciiTheme="minorHAnsi" w:hAnsiTheme="minorHAnsi" w:cstheme="minorHAnsi"/>
        </w:rPr>
        <w:t>Não consta nos autos</w:t>
      </w:r>
      <w:r w:rsidR="00DD0102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DD0102">
        <w:rPr>
          <w:rFonts w:asciiTheme="minorHAnsi" w:hAnsiTheme="minorHAnsi" w:cstheme="minorHAnsi"/>
        </w:rPr>
        <w:t>.</w:t>
      </w:r>
    </w:p>
    <w:p w:rsidR="00E412C6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</w:t>
      </w:r>
      <w:r w:rsidR="001313CB" w:rsidRPr="00B80869">
        <w:rPr>
          <w:rFonts w:asciiTheme="minorHAnsi" w:hAnsiTheme="minorHAnsi" w:cstheme="minorHAnsi"/>
          <w:b/>
        </w:rPr>
        <w:lastRenderedPageBreak/>
        <w:t xml:space="preserve">de Serviço nº </w:t>
      </w:r>
      <w:r w:rsidR="00D807C9">
        <w:rPr>
          <w:rFonts w:asciiTheme="minorHAnsi" w:hAnsiTheme="minorHAnsi" w:cstheme="minorHAnsi"/>
          <w:b/>
        </w:rPr>
        <w:t>47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D807C9">
        <w:rPr>
          <w:rFonts w:asciiTheme="minorHAnsi" w:hAnsiTheme="minorHAnsi" w:cstheme="minorHAnsi"/>
        </w:rPr>
        <w:t>29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D807C9">
        <w:rPr>
          <w:rFonts w:asciiTheme="minorHAnsi" w:hAnsiTheme="minorHAnsi" w:cstheme="minorHAnsi"/>
        </w:rPr>
        <w:t>17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D807C9">
        <w:rPr>
          <w:rFonts w:asciiTheme="minorHAnsi" w:hAnsiTheme="minorHAnsi" w:cstheme="minorHAnsi"/>
          <w:b/>
        </w:rPr>
        <w:t>100</w:t>
      </w:r>
      <w:r w:rsidR="001313CB">
        <w:rPr>
          <w:rFonts w:asciiTheme="minorHAnsi" w:hAnsiTheme="minorHAnsi" w:cstheme="minorHAnsi"/>
        </w:rPr>
        <w:t xml:space="preserve"> (fl. </w:t>
      </w:r>
      <w:r w:rsidR="00D807C9">
        <w:rPr>
          <w:rFonts w:asciiTheme="minorHAnsi" w:hAnsiTheme="minorHAnsi" w:cstheme="minorHAnsi"/>
        </w:rPr>
        <w:t>28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D807C9">
        <w:rPr>
          <w:rFonts w:asciiTheme="minorHAnsi" w:hAnsiTheme="minorHAnsi" w:cstheme="minorHAnsi"/>
        </w:rPr>
        <w:t>18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DD0102">
        <w:rPr>
          <w:rFonts w:asciiTheme="minorHAnsi" w:hAnsiTheme="minorHAnsi" w:cstheme="minorHAnsi"/>
        </w:rPr>
        <w:t>Amaro Elias A. Cedrim</w:t>
      </w:r>
      <w:r w:rsidR="00E412C6"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Chefe de Transporte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DD0102">
        <w:rPr>
          <w:rFonts w:asciiTheme="minorHAnsi" w:hAnsiTheme="minorHAnsi" w:cstheme="minorHAnsi"/>
        </w:rPr>
        <w:t>14</w:t>
      </w:r>
      <w:r w:rsidR="00E412C6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807C9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807C9">
        <w:rPr>
          <w:rFonts w:asciiTheme="minorHAnsi" w:hAnsiTheme="minorHAnsi" w:cstheme="minorHAnsi"/>
          <w:b/>
        </w:rPr>
        <w:t xml:space="preserve">A. </w:t>
      </w:r>
      <w:r w:rsidR="00D807C9">
        <w:rPr>
          <w:rFonts w:asciiTheme="minorHAnsi" w:hAnsiTheme="minorHAnsi" w:cstheme="minorHAnsi"/>
          <w:b/>
        </w:rPr>
        <w:lastRenderedPageBreak/>
        <w:t xml:space="preserve">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807C9">
        <w:rPr>
          <w:rFonts w:asciiTheme="minorHAnsi" w:hAnsiTheme="minorHAnsi" w:cstheme="minorHAnsi"/>
          <w:b/>
        </w:rPr>
        <w:t xml:space="preserve">A. FREITAS MORAES – </w:t>
      </w:r>
      <w:r w:rsidR="00D807C9" w:rsidRPr="00B80869">
        <w:rPr>
          <w:rFonts w:asciiTheme="minorHAnsi" w:hAnsiTheme="minorHAnsi" w:cstheme="minorHAnsi"/>
          <w:b/>
        </w:rPr>
        <w:t xml:space="preserve">(CNPJ </w:t>
      </w:r>
      <w:r w:rsidR="00D807C9">
        <w:rPr>
          <w:rFonts w:asciiTheme="minorHAnsi" w:hAnsiTheme="minorHAnsi" w:cstheme="minorHAnsi"/>
          <w:b/>
        </w:rPr>
        <w:t>13.336.290/0001-90</w:t>
      </w:r>
      <w:r w:rsidR="00D807C9" w:rsidRPr="00B80869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807C9">
        <w:rPr>
          <w:rFonts w:asciiTheme="minorHAnsi" w:hAnsiTheme="minorHAnsi" w:cstheme="minorHAnsi"/>
          <w:bCs/>
        </w:rPr>
        <w:t>08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77F" w:rsidRDefault="004B777F" w:rsidP="003068B9">
      <w:pPr>
        <w:spacing w:after="0" w:line="240" w:lineRule="auto"/>
      </w:pPr>
      <w:r>
        <w:separator/>
      </w:r>
    </w:p>
  </w:endnote>
  <w:endnote w:type="continuationSeparator" w:id="1">
    <w:p w:rsidR="004B777F" w:rsidRDefault="004B77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77F" w:rsidRDefault="004B777F" w:rsidP="003068B9">
      <w:pPr>
        <w:spacing w:after="0" w:line="240" w:lineRule="auto"/>
      </w:pPr>
      <w:r>
        <w:separator/>
      </w:r>
    </w:p>
  </w:footnote>
  <w:footnote w:type="continuationSeparator" w:id="1">
    <w:p w:rsidR="004B777F" w:rsidRDefault="004B77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B203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1489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2017-11-08T18:31:00Z</dcterms:created>
  <dcterms:modified xsi:type="dcterms:W3CDTF">2017-11-08T19:02:00Z</dcterms:modified>
</cp:coreProperties>
</file>