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4F" w:rsidRPr="007839CA" w:rsidRDefault="00373B4F" w:rsidP="00E9416F">
      <w:pPr>
        <w:spacing w:after="0" w:line="240" w:lineRule="auto"/>
        <w:jc w:val="both"/>
        <w:rPr>
          <w:rFonts w:asciiTheme="minorHAnsi" w:hAnsiTheme="minorHAnsi" w:cstheme="minorHAnsi"/>
          <w:b/>
          <w:color w:val="FF0000"/>
        </w:rPr>
      </w:pPr>
    </w:p>
    <w:p w:rsidR="003041E8" w:rsidRPr="008C34E0" w:rsidRDefault="008C34E0" w:rsidP="00E9416F">
      <w:pPr>
        <w:spacing w:after="0" w:line="360" w:lineRule="auto"/>
        <w:jc w:val="both"/>
        <w:rPr>
          <w:rFonts w:asciiTheme="minorHAnsi" w:hAnsiTheme="minorHAnsi" w:cstheme="minorHAnsi"/>
          <w:sz w:val="24"/>
          <w:szCs w:val="24"/>
        </w:rPr>
      </w:pPr>
      <w:r w:rsidRPr="008C34E0">
        <w:rPr>
          <w:rFonts w:asciiTheme="minorHAnsi" w:hAnsiTheme="minorHAnsi" w:cstheme="minorHAnsi"/>
          <w:b/>
          <w:sz w:val="24"/>
          <w:szCs w:val="24"/>
        </w:rPr>
        <w:t>PROCESSO Nº</w:t>
      </w:r>
      <w:r w:rsidR="003041E8" w:rsidRPr="008C34E0">
        <w:rPr>
          <w:rFonts w:asciiTheme="minorHAnsi" w:hAnsiTheme="minorHAnsi" w:cstheme="minorHAnsi"/>
          <w:sz w:val="24"/>
          <w:szCs w:val="24"/>
        </w:rPr>
        <w:t xml:space="preserve">: </w:t>
      </w:r>
      <w:r w:rsidR="00E94461" w:rsidRPr="008C34E0">
        <w:rPr>
          <w:rFonts w:asciiTheme="minorHAnsi" w:hAnsiTheme="minorHAnsi" w:cstheme="minorHAnsi"/>
          <w:sz w:val="24"/>
          <w:szCs w:val="24"/>
        </w:rPr>
        <w:t>30010</w:t>
      </w:r>
      <w:r w:rsidR="003D78BF" w:rsidRPr="008C34E0">
        <w:rPr>
          <w:rFonts w:asciiTheme="minorHAnsi" w:hAnsiTheme="minorHAnsi" w:cstheme="minorHAnsi"/>
          <w:sz w:val="24"/>
          <w:szCs w:val="24"/>
        </w:rPr>
        <w:t xml:space="preserve"> - </w:t>
      </w:r>
      <w:r w:rsidR="00E94461" w:rsidRPr="008C34E0">
        <w:rPr>
          <w:rFonts w:asciiTheme="minorHAnsi" w:hAnsiTheme="minorHAnsi" w:cstheme="minorHAnsi"/>
          <w:sz w:val="24"/>
          <w:szCs w:val="24"/>
        </w:rPr>
        <w:t>023</w:t>
      </w:r>
      <w:r w:rsidR="00656B07" w:rsidRPr="008C34E0">
        <w:rPr>
          <w:rFonts w:asciiTheme="minorHAnsi" w:hAnsiTheme="minorHAnsi" w:cstheme="minorHAnsi"/>
          <w:sz w:val="24"/>
          <w:szCs w:val="24"/>
        </w:rPr>
        <w:t>9</w:t>
      </w:r>
      <w:r w:rsidR="00211C2C" w:rsidRPr="008C34E0">
        <w:rPr>
          <w:rFonts w:asciiTheme="minorHAnsi" w:hAnsiTheme="minorHAnsi" w:cstheme="minorHAnsi"/>
          <w:sz w:val="24"/>
          <w:szCs w:val="24"/>
        </w:rPr>
        <w:t>/</w:t>
      </w:r>
      <w:r w:rsidR="00D33E5D" w:rsidRPr="008C34E0">
        <w:rPr>
          <w:rFonts w:asciiTheme="minorHAnsi" w:hAnsiTheme="minorHAnsi" w:cstheme="minorHAnsi"/>
          <w:sz w:val="24"/>
          <w:szCs w:val="24"/>
        </w:rPr>
        <w:t>201</w:t>
      </w:r>
      <w:r w:rsidR="00E94461" w:rsidRPr="008C34E0">
        <w:rPr>
          <w:rFonts w:asciiTheme="minorHAnsi" w:hAnsiTheme="minorHAnsi" w:cstheme="minorHAnsi"/>
          <w:sz w:val="24"/>
          <w:szCs w:val="24"/>
        </w:rPr>
        <w:t>6 – Apensos: 30010</w:t>
      </w:r>
      <w:r w:rsidR="003D78BF" w:rsidRPr="008C34E0">
        <w:rPr>
          <w:rFonts w:asciiTheme="minorHAnsi" w:hAnsiTheme="minorHAnsi" w:cstheme="minorHAnsi"/>
          <w:sz w:val="24"/>
          <w:szCs w:val="24"/>
        </w:rPr>
        <w:t xml:space="preserve"> - </w:t>
      </w:r>
      <w:r w:rsidR="00E94461" w:rsidRPr="008C34E0">
        <w:rPr>
          <w:rFonts w:asciiTheme="minorHAnsi" w:hAnsiTheme="minorHAnsi" w:cstheme="minorHAnsi"/>
          <w:sz w:val="24"/>
          <w:szCs w:val="24"/>
        </w:rPr>
        <w:t>0129/2016, 30010</w:t>
      </w:r>
      <w:r w:rsidR="003D78BF" w:rsidRPr="008C34E0">
        <w:rPr>
          <w:rFonts w:asciiTheme="minorHAnsi" w:hAnsiTheme="minorHAnsi" w:cstheme="minorHAnsi"/>
          <w:sz w:val="24"/>
          <w:szCs w:val="24"/>
        </w:rPr>
        <w:t xml:space="preserve"> - </w:t>
      </w:r>
      <w:r w:rsidR="00E94461" w:rsidRPr="008C34E0">
        <w:rPr>
          <w:rFonts w:asciiTheme="minorHAnsi" w:hAnsiTheme="minorHAnsi" w:cstheme="minorHAnsi"/>
          <w:sz w:val="24"/>
          <w:szCs w:val="24"/>
        </w:rPr>
        <w:t>0263/2016, 30010</w:t>
      </w:r>
      <w:r w:rsidR="003D78BF" w:rsidRPr="008C34E0">
        <w:rPr>
          <w:rFonts w:asciiTheme="minorHAnsi" w:hAnsiTheme="minorHAnsi" w:cstheme="minorHAnsi"/>
          <w:sz w:val="24"/>
          <w:szCs w:val="24"/>
        </w:rPr>
        <w:t xml:space="preserve"> - </w:t>
      </w:r>
      <w:r w:rsidR="00E94461" w:rsidRPr="008C34E0">
        <w:rPr>
          <w:rFonts w:asciiTheme="minorHAnsi" w:hAnsiTheme="minorHAnsi" w:cstheme="minorHAnsi"/>
          <w:sz w:val="24"/>
          <w:szCs w:val="24"/>
        </w:rPr>
        <w:t>0337/2016, 30010</w:t>
      </w:r>
      <w:r w:rsidR="003D78BF" w:rsidRPr="008C34E0">
        <w:rPr>
          <w:rFonts w:asciiTheme="minorHAnsi" w:hAnsiTheme="minorHAnsi" w:cstheme="minorHAnsi"/>
          <w:sz w:val="24"/>
          <w:szCs w:val="24"/>
        </w:rPr>
        <w:t xml:space="preserve"> - </w:t>
      </w:r>
      <w:r w:rsidR="00E94461" w:rsidRPr="008C34E0">
        <w:rPr>
          <w:rFonts w:asciiTheme="minorHAnsi" w:hAnsiTheme="minorHAnsi" w:cstheme="minorHAnsi"/>
          <w:sz w:val="24"/>
          <w:szCs w:val="24"/>
        </w:rPr>
        <w:t>0380/2016, 30010</w:t>
      </w:r>
      <w:r w:rsidR="003D78BF" w:rsidRPr="008C34E0">
        <w:rPr>
          <w:rFonts w:asciiTheme="minorHAnsi" w:hAnsiTheme="minorHAnsi" w:cstheme="minorHAnsi"/>
          <w:sz w:val="24"/>
          <w:szCs w:val="24"/>
        </w:rPr>
        <w:t xml:space="preserve"> - </w:t>
      </w:r>
      <w:r w:rsidR="00E94461" w:rsidRPr="008C34E0">
        <w:rPr>
          <w:rFonts w:asciiTheme="minorHAnsi" w:hAnsiTheme="minorHAnsi" w:cstheme="minorHAnsi"/>
          <w:sz w:val="24"/>
          <w:szCs w:val="24"/>
        </w:rPr>
        <w:t>0440/2016, e 30010</w:t>
      </w:r>
      <w:r w:rsidR="003D78BF" w:rsidRPr="008C34E0">
        <w:rPr>
          <w:rFonts w:asciiTheme="minorHAnsi" w:hAnsiTheme="minorHAnsi" w:cstheme="minorHAnsi"/>
          <w:sz w:val="24"/>
          <w:szCs w:val="24"/>
        </w:rPr>
        <w:t xml:space="preserve"> - </w:t>
      </w:r>
      <w:r w:rsidR="00E94461" w:rsidRPr="008C34E0">
        <w:rPr>
          <w:rFonts w:asciiTheme="minorHAnsi" w:hAnsiTheme="minorHAnsi" w:cstheme="minorHAnsi"/>
          <w:sz w:val="24"/>
          <w:szCs w:val="24"/>
        </w:rPr>
        <w:t>0466/2016.</w:t>
      </w:r>
    </w:p>
    <w:p w:rsidR="003041E8" w:rsidRPr="008C34E0" w:rsidRDefault="008C34E0" w:rsidP="00E9416F">
      <w:pPr>
        <w:spacing w:after="0" w:line="360" w:lineRule="auto"/>
        <w:jc w:val="both"/>
        <w:rPr>
          <w:rFonts w:asciiTheme="minorHAnsi" w:hAnsiTheme="minorHAnsi" w:cstheme="minorHAnsi"/>
          <w:sz w:val="24"/>
          <w:szCs w:val="24"/>
        </w:rPr>
      </w:pPr>
      <w:r w:rsidRPr="008C34E0">
        <w:rPr>
          <w:rFonts w:asciiTheme="minorHAnsi" w:hAnsiTheme="minorHAnsi" w:cstheme="minorHAnsi"/>
          <w:b/>
          <w:sz w:val="24"/>
          <w:szCs w:val="24"/>
        </w:rPr>
        <w:t>INTERESSADO</w:t>
      </w:r>
      <w:r w:rsidRPr="008C34E0">
        <w:rPr>
          <w:rFonts w:asciiTheme="minorHAnsi" w:hAnsiTheme="minorHAnsi" w:cstheme="minorHAnsi"/>
          <w:sz w:val="24"/>
          <w:szCs w:val="24"/>
        </w:rPr>
        <w:t>:</w:t>
      </w:r>
      <w:r w:rsidR="003041E8" w:rsidRPr="008C34E0">
        <w:rPr>
          <w:rFonts w:asciiTheme="minorHAnsi" w:hAnsiTheme="minorHAnsi" w:cstheme="minorHAnsi"/>
          <w:sz w:val="24"/>
          <w:szCs w:val="24"/>
        </w:rPr>
        <w:t xml:space="preserve"> </w:t>
      </w:r>
      <w:r w:rsidR="00E94461" w:rsidRPr="008C34E0">
        <w:rPr>
          <w:rFonts w:asciiTheme="minorHAnsi" w:hAnsiTheme="minorHAnsi" w:cstheme="minorHAnsi"/>
          <w:sz w:val="24"/>
          <w:szCs w:val="24"/>
        </w:rPr>
        <w:t>CPM BRAXIS S/A</w:t>
      </w:r>
    </w:p>
    <w:p w:rsidR="00B32552" w:rsidRPr="008C34E0" w:rsidRDefault="008C34E0" w:rsidP="00E9416F">
      <w:pPr>
        <w:spacing w:after="0" w:line="360" w:lineRule="auto"/>
        <w:jc w:val="both"/>
        <w:rPr>
          <w:rFonts w:asciiTheme="minorHAnsi" w:hAnsiTheme="minorHAnsi" w:cstheme="minorHAnsi"/>
          <w:sz w:val="24"/>
          <w:szCs w:val="24"/>
        </w:rPr>
      </w:pPr>
      <w:r w:rsidRPr="008C34E0">
        <w:rPr>
          <w:rFonts w:asciiTheme="minorHAnsi" w:hAnsiTheme="minorHAnsi" w:cstheme="minorHAnsi"/>
          <w:b/>
          <w:sz w:val="24"/>
          <w:szCs w:val="24"/>
        </w:rPr>
        <w:t>ASSUNTO</w:t>
      </w:r>
      <w:r w:rsidRPr="008C34E0">
        <w:rPr>
          <w:rFonts w:asciiTheme="minorHAnsi" w:hAnsiTheme="minorHAnsi" w:cstheme="minorHAnsi"/>
          <w:sz w:val="24"/>
          <w:szCs w:val="24"/>
        </w:rPr>
        <w:t>:</w:t>
      </w:r>
      <w:r w:rsidR="003041E8" w:rsidRPr="008C34E0">
        <w:rPr>
          <w:rFonts w:asciiTheme="minorHAnsi" w:hAnsiTheme="minorHAnsi" w:cstheme="minorHAnsi"/>
          <w:sz w:val="24"/>
          <w:szCs w:val="24"/>
        </w:rPr>
        <w:t xml:space="preserve"> </w:t>
      </w:r>
      <w:r w:rsidR="00AE256B" w:rsidRPr="008C34E0">
        <w:rPr>
          <w:rFonts w:asciiTheme="minorHAnsi" w:hAnsiTheme="minorHAnsi" w:cstheme="minorHAnsi"/>
          <w:sz w:val="24"/>
          <w:szCs w:val="24"/>
        </w:rPr>
        <w:t>Solicitação de Pagamento.</w:t>
      </w:r>
      <w:r w:rsidR="001B06ED" w:rsidRPr="008C34E0">
        <w:rPr>
          <w:rFonts w:asciiTheme="minorHAnsi" w:hAnsiTheme="minorHAnsi" w:cstheme="minorHAnsi"/>
          <w:sz w:val="24"/>
          <w:szCs w:val="24"/>
        </w:rPr>
        <w:t xml:space="preserve"> </w:t>
      </w:r>
    </w:p>
    <w:p w:rsidR="003D0B72" w:rsidRPr="008C34E0" w:rsidRDefault="003D0B72" w:rsidP="00E9416F">
      <w:pPr>
        <w:spacing w:after="0" w:line="240" w:lineRule="auto"/>
        <w:jc w:val="both"/>
        <w:rPr>
          <w:rFonts w:asciiTheme="minorHAnsi" w:hAnsiTheme="minorHAnsi" w:cstheme="minorHAnsi"/>
          <w:color w:val="FF0000"/>
          <w:sz w:val="24"/>
          <w:szCs w:val="24"/>
        </w:rPr>
      </w:pPr>
    </w:p>
    <w:p w:rsidR="0098367C" w:rsidRPr="008C34E0" w:rsidRDefault="0098367C" w:rsidP="00F8136E">
      <w:pPr>
        <w:spacing w:after="0" w:line="360" w:lineRule="auto"/>
        <w:ind w:firstLine="851"/>
        <w:jc w:val="both"/>
        <w:rPr>
          <w:rFonts w:asciiTheme="minorHAnsi" w:hAnsiTheme="minorHAnsi" w:cstheme="minorHAnsi"/>
          <w:sz w:val="24"/>
          <w:szCs w:val="24"/>
        </w:rPr>
      </w:pPr>
      <w:r w:rsidRPr="008C34E0">
        <w:rPr>
          <w:rFonts w:asciiTheme="minorHAnsi" w:hAnsiTheme="minorHAnsi" w:cstheme="minorHAnsi"/>
          <w:sz w:val="24"/>
          <w:szCs w:val="24"/>
        </w:rPr>
        <w:t>Trata-s</w:t>
      </w:r>
      <w:r w:rsidR="003041E8" w:rsidRPr="008C34E0">
        <w:rPr>
          <w:rFonts w:asciiTheme="minorHAnsi" w:hAnsiTheme="minorHAnsi" w:cstheme="minorHAnsi"/>
          <w:sz w:val="24"/>
          <w:szCs w:val="24"/>
        </w:rPr>
        <w:t xml:space="preserve">e de Processo Administrativo nº </w:t>
      </w:r>
      <w:r w:rsidR="00E94461" w:rsidRPr="008C34E0">
        <w:rPr>
          <w:rFonts w:asciiTheme="minorHAnsi" w:hAnsiTheme="minorHAnsi" w:cstheme="minorHAnsi"/>
          <w:sz w:val="24"/>
          <w:szCs w:val="24"/>
        </w:rPr>
        <w:t>30010</w:t>
      </w:r>
      <w:r w:rsidR="003D78BF" w:rsidRPr="008C34E0">
        <w:rPr>
          <w:rFonts w:asciiTheme="minorHAnsi" w:hAnsiTheme="minorHAnsi" w:cstheme="minorHAnsi"/>
          <w:sz w:val="24"/>
          <w:szCs w:val="24"/>
        </w:rPr>
        <w:t xml:space="preserve"> - </w:t>
      </w:r>
      <w:r w:rsidR="00E94461" w:rsidRPr="008C34E0">
        <w:rPr>
          <w:rFonts w:asciiTheme="minorHAnsi" w:hAnsiTheme="minorHAnsi" w:cstheme="minorHAnsi"/>
          <w:sz w:val="24"/>
          <w:szCs w:val="24"/>
        </w:rPr>
        <w:t>0239/2016 e apensos supracitados,</w:t>
      </w:r>
      <w:r w:rsidR="001B06ED" w:rsidRPr="008C34E0">
        <w:rPr>
          <w:rFonts w:asciiTheme="minorHAnsi" w:hAnsiTheme="minorHAnsi" w:cstheme="minorHAnsi"/>
          <w:sz w:val="24"/>
          <w:szCs w:val="24"/>
        </w:rPr>
        <w:t xml:space="preserve"> </w:t>
      </w:r>
      <w:r w:rsidRPr="008C34E0">
        <w:rPr>
          <w:rFonts w:asciiTheme="minorHAnsi" w:hAnsiTheme="minorHAnsi" w:cstheme="minorHAnsi"/>
          <w:sz w:val="24"/>
          <w:szCs w:val="24"/>
        </w:rPr>
        <w:t>em</w:t>
      </w:r>
      <w:r w:rsidR="00E9416F" w:rsidRPr="008C34E0">
        <w:rPr>
          <w:rFonts w:asciiTheme="minorHAnsi" w:hAnsiTheme="minorHAnsi" w:cstheme="minorHAnsi"/>
          <w:sz w:val="24"/>
          <w:szCs w:val="24"/>
        </w:rPr>
        <w:t xml:space="preserve"> 0</w:t>
      </w:r>
      <w:r w:rsidR="00E94461" w:rsidRPr="008C34E0">
        <w:rPr>
          <w:rFonts w:asciiTheme="minorHAnsi" w:hAnsiTheme="minorHAnsi" w:cstheme="minorHAnsi"/>
          <w:sz w:val="24"/>
          <w:szCs w:val="24"/>
        </w:rPr>
        <w:t>6</w:t>
      </w:r>
      <w:r w:rsidR="00E9416F" w:rsidRPr="008C34E0">
        <w:rPr>
          <w:rFonts w:asciiTheme="minorHAnsi" w:hAnsiTheme="minorHAnsi" w:cstheme="minorHAnsi"/>
          <w:sz w:val="24"/>
          <w:szCs w:val="24"/>
        </w:rPr>
        <w:t xml:space="preserve"> (</w:t>
      </w:r>
      <w:r w:rsidR="00E94461" w:rsidRPr="008C34E0">
        <w:rPr>
          <w:rFonts w:asciiTheme="minorHAnsi" w:hAnsiTheme="minorHAnsi" w:cstheme="minorHAnsi"/>
          <w:sz w:val="24"/>
          <w:szCs w:val="24"/>
        </w:rPr>
        <w:t>seis</w:t>
      </w:r>
      <w:r w:rsidR="00E9416F" w:rsidRPr="008C34E0">
        <w:rPr>
          <w:rFonts w:asciiTheme="minorHAnsi" w:hAnsiTheme="minorHAnsi" w:cstheme="minorHAnsi"/>
          <w:sz w:val="24"/>
          <w:szCs w:val="24"/>
        </w:rPr>
        <w:t>) volume</w:t>
      </w:r>
      <w:r w:rsidR="00E94461" w:rsidRPr="008C34E0">
        <w:rPr>
          <w:rFonts w:asciiTheme="minorHAnsi" w:hAnsiTheme="minorHAnsi" w:cstheme="minorHAnsi"/>
          <w:sz w:val="24"/>
          <w:szCs w:val="24"/>
        </w:rPr>
        <w:t>s</w:t>
      </w:r>
      <w:r w:rsidR="003721F1" w:rsidRPr="008C34E0">
        <w:rPr>
          <w:rFonts w:asciiTheme="minorHAnsi" w:hAnsiTheme="minorHAnsi" w:cstheme="minorHAnsi"/>
          <w:sz w:val="24"/>
          <w:szCs w:val="24"/>
        </w:rPr>
        <w:t>,</w:t>
      </w:r>
      <w:r w:rsidRPr="008C34E0">
        <w:rPr>
          <w:rFonts w:asciiTheme="minorHAnsi" w:hAnsiTheme="minorHAnsi" w:cstheme="minorHAnsi"/>
          <w:sz w:val="24"/>
          <w:szCs w:val="24"/>
        </w:rPr>
        <w:t xml:space="preserve"> </w:t>
      </w:r>
      <w:r w:rsidR="00E9416F" w:rsidRPr="008C34E0">
        <w:rPr>
          <w:rFonts w:asciiTheme="minorHAnsi" w:hAnsiTheme="minorHAnsi" w:cstheme="minorHAnsi"/>
          <w:sz w:val="24"/>
          <w:szCs w:val="24"/>
        </w:rPr>
        <w:t>que versa sobre o</w:t>
      </w:r>
      <w:r w:rsidRPr="008C34E0">
        <w:rPr>
          <w:rFonts w:asciiTheme="minorHAnsi" w:hAnsiTheme="minorHAnsi" w:cstheme="minorHAnsi"/>
          <w:sz w:val="24"/>
          <w:szCs w:val="24"/>
        </w:rPr>
        <w:t xml:space="preserve"> </w:t>
      </w:r>
      <w:r w:rsidR="003721F1" w:rsidRPr="008C34E0">
        <w:rPr>
          <w:rFonts w:asciiTheme="minorHAnsi" w:hAnsiTheme="minorHAnsi" w:cstheme="minorHAnsi"/>
          <w:sz w:val="24"/>
          <w:szCs w:val="24"/>
        </w:rPr>
        <w:t>pagamento</w:t>
      </w:r>
      <w:r w:rsidR="00E9416F" w:rsidRPr="008C34E0">
        <w:rPr>
          <w:rFonts w:asciiTheme="minorHAnsi" w:hAnsiTheme="minorHAnsi" w:cstheme="minorHAnsi"/>
          <w:sz w:val="24"/>
          <w:szCs w:val="24"/>
        </w:rPr>
        <w:t xml:space="preserve"> a empresa </w:t>
      </w:r>
      <w:r w:rsidR="00E94461" w:rsidRPr="008C34E0">
        <w:rPr>
          <w:rFonts w:asciiTheme="minorHAnsi" w:hAnsiTheme="minorHAnsi" w:cstheme="minorHAnsi"/>
          <w:b/>
          <w:sz w:val="24"/>
          <w:szCs w:val="24"/>
        </w:rPr>
        <w:t xml:space="preserve">CPM BRAXIS S/A, </w:t>
      </w:r>
      <w:r w:rsidR="00E9416F" w:rsidRPr="008C34E0">
        <w:rPr>
          <w:rFonts w:asciiTheme="minorHAnsi" w:hAnsiTheme="minorHAnsi" w:cstheme="minorHAnsi"/>
          <w:sz w:val="24"/>
          <w:szCs w:val="24"/>
        </w:rPr>
        <w:t xml:space="preserve">no valor de </w:t>
      </w:r>
      <w:proofErr w:type="gramStart"/>
      <w:r w:rsidR="00E9416F" w:rsidRPr="008C34E0">
        <w:rPr>
          <w:rFonts w:asciiTheme="minorHAnsi" w:hAnsiTheme="minorHAnsi" w:cstheme="minorHAnsi"/>
          <w:sz w:val="24"/>
          <w:szCs w:val="24"/>
        </w:rPr>
        <w:t>R$</w:t>
      </w:r>
      <w:r w:rsidR="00E94461" w:rsidRPr="008C34E0">
        <w:rPr>
          <w:rFonts w:asciiTheme="minorHAnsi" w:hAnsiTheme="minorHAnsi" w:cstheme="minorHAnsi"/>
          <w:sz w:val="24"/>
          <w:szCs w:val="24"/>
        </w:rPr>
        <w:t>3.244.751,20</w:t>
      </w:r>
      <w:r w:rsidR="00E9416F" w:rsidRPr="008C34E0">
        <w:rPr>
          <w:rFonts w:asciiTheme="minorHAnsi" w:hAnsiTheme="minorHAnsi" w:cstheme="minorHAnsi"/>
          <w:sz w:val="24"/>
          <w:szCs w:val="24"/>
        </w:rPr>
        <w:t xml:space="preserve"> (</w:t>
      </w:r>
      <w:r w:rsidR="00E94461" w:rsidRPr="008C34E0">
        <w:rPr>
          <w:rFonts w:asciiTheme="minorHAnsi" w:hAnsiTheme="minorHAnsi" w:cstheme="minorHAnsi"/>
          <w:sz w:val="24"/>
          <w:szCs w:val="24"/>
        </w:rPr>
        <w:t>três milhões, duzentos e quarenta e quatro mil, setecentos e cinquenta e um reais e vinte centavos</w:t>
      </w:r>
      <w:r w:rsidR="00E9416F" w:rsidRPr="008C34E0">
        <w:rPr>
          <w:rFonts w:asciiTheme="minorHAnsi" w:hAnsiTheme="minorHAnsi" w:cstheme="minorHAnsi"/>
          <w:sz w:val="24"/>
          <w:szCs w:val="24"/>
        </w:rPr>
        <w:t>),</w:t>
      </w:r>
      <w:r w:rsidR="00D33E5D" w:rsidRPr="008C34E0">
        <w:rPr>
          <w:rFonts w:asciiTheme="minorHAnsi" w:hAnsiTheme="minorHAnsi" w:cstheme="minorHAnsi"/>
          <w:sz w:val="24"/>
          <w:szCs w:val="24"/>
        </w:rPr>
        <w:t xml:space="preserve"> r</w:t>
      </w:r>
      <w:r w:rsidR="00E9416F" w:rsidRPr="008C34E0">
        <w:rPr>
          <w:rFonts w:asciiTheme="minorHAnsi" w:hAnsiTheme="minorHAnsi" w:cstheme="minorHAnsi"/>
          <w:sz w:val="24"/>
          <w:szCs w:val="24"/>
        </w:rPr>
        <w:t>eferente</w:t>
      </w:r>
      <w:proofErr w:type="gramEnd"/>
      <w:r w:rsidR="00D33E5D" w:rsidRPr="008C34E0">
        <w:rPr>
          <w:rFonts w:asciiTheme="minorHAnsi" w:hAnsiTheme="minorHAnsi" w:cstheme="minorHAnsi"/>
          <w:sz w:val="24"/>
          <w:szCs w:val="24"/>
        </w:rPr>
        <w:t xml:space="preserve"> </w:t>
      </w:r>
      <w:r w:rsidR="00A226DE" w:rsidRPr="008C34E0">
        <w:rPr>
          <w:rFonts w:asciiTheme="minorHAnsi" w:hAnsiTheme="minorHAnsi" w:cstheme="minorHAnsi"/>
          <w:sz w:val="24"/>
          <w:szCs w:val="24"/>
        </w:rPr>
        <w:t>à</w:t>
      </w:r>
      <w:r w:rsidR="00D33E5D" w:rsidRPr="008C34E0">
        <w:rPr>
          <w:rFonts w:asciiTheme="minorHAnsi" w:hAnsiTheme="minorHAnsi" w:cstheme="minorHAnsi"/>
          <w:sz w:val="24"/>
          <w:szCs w:val="24"/>
        </w:rPr>
        <w:t xml:space="preserve"> </w:t>
      </w:r>
      <w:r w:rsidR="00E94461" w:rsidRPr="008C34E0">
        <w:rPr>
          <w:rFonts w:asciiTheme="minorHAnsi" w:hAnsiTheme="minorHAnsi" w:cstheme="minorHAnsi"/>
          <w:sz w:val="24"/>
          <w:szCs w:val="24"/>
        </w:rPr>
        <w:t xml:space="preserve">prestação de suporte a </w:t>
      </w:r>
      <w:r w:rsidR="003D78BF" w:rsidRPr="008C34E0">
        <w:rPr>
          <w:rFonts w:asciiTheme="minorHAnsi" w:hAnsiTheme="minorHAnsi" w:cstheme="minorHAnsi"/>
          <w:sz w:val="24"/>
          <w:szCs w:val="24"/>
        </w:rPr>
        <w:t>infraestrutura</w:t>
      </w:r>
      <w:r w:rsidR="00E94461" w:rsidRPr="008C34E0">
        <w:rPr>
          <w:rFonts w:asciiTheme="minorHAnsi" w:hAnsiTheme="minorHAnsi" w:cstheme="minorHAnsi"/>
          <w:sz w:val="24"/>
          <w:szCs w:val="24"/>
        </w:rPr>
        <w:t xml:space="preserve"> de tecnologia da informação e comunicação, no período de junho a novembro/2016.</w:t>
      </w:r>
    </w:p>
    <w:p w:rsidR="00304120" w:rsidRPr="008C34E0" w:rsidRDefault="00304120" w:rsidP="00E9416F">
      <w:pPr>
        <w:spacing w:after="0" w:line="360" w:lineRule="auto"/>
        <w:ind w:firstLine="851"/>
        <w:jc w:val="both"/>
        <w:rPr>
          <w:rFonts w:asciiTheme="minorHAnsi" w:hAnsiTheme="minorHAnsi" w:cstheme="minorHAnsi"/>
          <w:sz w:val="24"/>
          <w:szCs w:val="24"/>
        </w:rPr>
      </w:pPr>
      <w:r w:rsidRPr="008C34E0">
        <w:rPr>
          <w:rFonts w:asciiTheme="minorHAnsi" w:hAnsiTheme="minorHAnsi" w:cstheme="minorHAnsi"/>
          <w:sz w:val="24"/>
          <w:szCs w:val="24"/>
        </w:rPr>
        <w:t xml:space="preserve">Os autos foram encaminhados a esta </w:t>
      </w:r>
      <w:r w:rsidRPr="008C34E0">
        <w:rPr>
          <w:rFonts w:asciiTheme="minorHAnsi" w:hAnsiTheme="minorHAnsi" w:cstheme="minorHAnsi"/>
          <w:b/>
          <w:sz w:val="24"/>
          <w:szCs w:val="24"/>
        </w:rPr>
        <w:t>Controladoria Geral do Estado – CGE</w:t>
      </w:r>
      <w:r w:rsidRPr="008C34E0">
        <w:rPr>
          <w:rFonts w:asciiTheme="minorHAnsi" w:hAnsiTheme="minorHAnsi" w:cstheme="minorHAnsi"/>
          <w:sz w:val="24"/>
          <w:szCs w:val="24"/>
        </w:rPr>
        <w:t xml:space="preserve"> para análise final e parecer contábil conclusivo, atendendo ao que determina o Artigo 48 do Decreto Estadual nº 51.828/2017.</w:t>
      </w:r>
    </w:p>
    <w:p w:rsidR="00E94461" w:rsidRPr="008C34E0" w:rsidRDefault="00E94461" w:rsidP="00E9416F">
      <w:pPr>
        <w:spacing w:after="0" w:line="360" w:lineRule="auto"/>
        <w:ind w:firstLine="851"/>
        <w:jc w:val="both"/>
        <w:rPr>
          <w:rFonts w:asciiTheme="minorHAnsi" w:hAnsiTheme="minorHAnsi" w:cstheme="minorHAnsi"/>
          <w:sz w:val="24"/>
          <w:szCs w:val="24"/>
        </w:rPr>
      </w:pPr>
      <w:r w:rsidRPr="008C34E0">
        <w:rPr>
          <w:rFonts w:asciiTheme="minorHAnsi" w:hAnsiTheme="minorHAnsi" w:cstheme="minorHAnsi"/>
          <w:sz w:val="24"/>
          <w:szCs w:val="24"/>
        </w:rPr>
        <w:t>Con</w:t>
      </w:r>
      <w:r w:rsidR="003D78BF" w:rsidRPr="008C34E0">
        <w:rPr>
          <w:rFonts w:asciiTheme="minorHAnsi" w:hAnsiTheme="minorHAnsi" w:cstheme="minorHAnsi"/>
          <w:sz w:val="24"/>
          <w:szCs w:val="24"/>
        </w:rPr>
        <w:t>s</w:t>
      </w:r>
      <w:r w:rsidRPr="008C34E0">
        <w:rPr>
          <w:rFonts w:asciiTheme="minorHAnsi" w:hAnsiTheme="minorHAnsi" w:cstheme="minorHAnsi"/>
          <w:sz w:val="24"/>
          <w:szCs w:val="24"/>
        </w:rPr>
        <w:t>tata-se que esse processo já aportou nessa Controladoria Geral do Estado – CGE, conforme Parecer às fls. 267/268.</w:t>
      </w:r>
    </w:p>
    <w:p w:rsidR="00E9416F" w:rsidRPr="008C34E0" w:rsidRDefault="00E9416F" w:rsidP="00E9416F">
      <w:pPr>
        <w:pStyle w:val="PargrafodaLista"/>
        <w:suppressAutoHyphens/>
        <w:spacing w:before="0" w:after="0" w:line="360" w:lineRule="auto"/>
        <w:ind w:left="1211"/>
        <w:rPr>
          <w:rFonts w:asciiTheme="minorHAnsi" w:hAnsiTheme="minorHAnsi" w:cstheme="minorHAnsi"/>
          <w:sz w:val="24"/>
          <w:szCs w:val="24"/>
        </w:rPr>
      </w:pPr>
    </w:p>
    <w:p w:rsidR="00E9416F" w:rsidRPr="008C34E0" w:rsidRDefault="00E9416F" w:rsidP="00E941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uppressAutoHyphens/>
        <w:spacing w:after="0" w:line="240" w:lineRule="auto"/>
        <w:jc w:val="both"/>
        <w:rPr>
          <w:rFonts w:asciiTheme="minorHAnsi" w:hAnsiTheme="minorHAnsi" w:cstheme="minorHAnsi"/>
          <w:b/>
          <w:sz w:val="24"/>
          <w:szCs w:val="24"/>
        </w:rPr>
      </w:pPr>
      <w:r w:rsidRPr="008C34E0">
        <w:rPr>
          <w:rFonts w:asciiTheme="minorHAnsi" w:hAnsiTheme="minorHAnsi" w:cstheme="minorHAnsi"/>
          <w:b/>
          <w:sz w:val="24"/>
          <w:szCs w:val="24"/>
        </w:rPr>
        <w:t>1 - RELATÓRIO</w:t>
      </w:r>
    </w:p>
    <w:p w:rsidR="00E9416F" w:rsidRPr="008C34E0" w:rsidRDefault="00E9416F" w:rsidP="00E9416F">
      <w:pPr>
        <w:spacing w:after="0" w:line="360" w:lineRule="auto"/>
        <w:ind w:firstLine="851"/>
        <w:jc w:val="both"/>
        <w:rPr>
          <w:rFonts w:asciiTheme="minorHAnsi" w:hAnsiTheme="minorHAnsi" w:cstheme="minorHAnsi"/>
          <w:sz w:val="24"/>
          <w:szCs w:val="24"/>
        </w:rPr>
      </w:pPr>
    </w:p>
    <w:p w:rsidR="00E9416F" w:rsidRPr="008C34E0" w:rsidRDefault="00E9416F" w:rsidP="00E9416F">
      <w:pPr>
        <w:pStyle w:val="SemEspaamento"/>
        <w:spacing w:line="360" w:lineRule="auto"/>
        <w:ind w:left="143" w:firstLine="708"/>
        <w:jc w:val="both"/>
        <w:rPr>
          <w:rFonts w:asciiTheme="minorHAnsi" w:hAnsiTheme="minorHAnsi" w:cstheme="minorHAnsi"/>
          <w:b/>
          <w:sz w:val="24"/>
          <w:szCs w:val="24"/>
          <w:u w:val="single"/>
        </w:rPr>
      </w:pPr>
      <w:r w:rsidRPr="008C34E0">
        <w:rPr>
          <w:rFonts w:asciiTheme="minorHAnsi" w:hAnsiTheme="minorHAnsi" w:cstheme="minorHAnsi"/>
          <w:b/>
          <w:sz w:val="24"/>
          <w:szCs w:val="24"/>
          <w:u w:val="single"/>
        </w:rPr>
        <w:t>I – PRELIMINARMENTE</w:t>
      </w:r>
    </w:p>
    <w:p w:rsidR="003D78BF" w:rsidRPr="008C34E0" w:rsidRDefault="003D78BF" w:rsidP="003D78BF">
      <w:pPr>
        <w:spacing w:after="0" w:line="360" w:lineRule="auto"/>
        <w:ind w:firstLine="851"/>
        <w:jc w:val="both"/>
        <w:rPr>
          <w:rFonts w:asciiTheme="minorHAnsi" w:hAnsiTheme="minorHAnsi" w:cstheme="minorHAnsi"/>
          <w:bCs/>
          <w:sz w:val="24"/>
          <w:szCs w:val="24"/>
        </w:rPr>
      </w:pPr>
      <w:r w:rsidRPr="008C34E0">
        <w:rPr>
          <w:rFonts w:asciiTheme="minorHAnsi" w:hAnsiTheme="minorHAnsi" w:cstheme="minorHAnsi"/>
          <w:sz w:val="24"/>
          <w:szCs w:val="24"/>
        </w:rPr>
        <w:t xml:space="preserve">A análise dos autos do Processo de pagamento a empresa </w:t>
      </w:r>
      <w:r w:rsidRPr="008C34E0">
        <w:rPr>
          <w:rFonts w:asciiTheme="minorHAnsi" w:hAnsiTheme="minorHAnsi" w:cstheme="minorHAnsi"/>
          <w:b/>
          <w:sz w:val="24"/>
          <w:szCs w:val="24"/>
        </w:rPr>
        <w:t xml:space="preserve">CPM BRAXIS S/A, </w:t>
      </w:r>
      <w:r w:rsidRPr="008C34E0">
        <w:rPr>
          <w:rFonts w:asciiTheme="minorHAnsi" w:hAnsiTheme="minorHAnsi" w:cstheme="minorHAnsi"/>
          <w:sz w:val="24"/>
          <w:szCs w:val="24"/>
        </w:rPr>
        <w:t xml:space="preserve">no valor de R$3.244.751,20 (três milhões, duzentos e quarenta e quatro mil, setecentos e cinquenta e um reais e vinte centavos), restringiu-se a instrução do processo de despesa, no que se </w:t>
      </w:r>
      <w:r w:rsidRPr="008C34E0">
        <w:rPr>
          <w:rStyle w:val="Forte"/>
          <w:rFonts w:asciiTheme="minorHAnsi" w:hAnsiTheme="minorHAnsi" w:cstheme="minorHAnsi"/>
          <w:b w:val="0"/>
          <w:sz w:val="24"/>
          <w:szCs w:val="24"/>
        </w:rPr>
        <w:t>refere ao cumprimento das fases da despesa pública, explicitado na Lei Federal nº 4.320/64, além da obediência aos princípios constitucionais aplicáveis à Administração Pública.</w:t>
      </w:r>
      <w:r w:rsidRPr="008C34E0">
        <w:rPr>
          <w:rFonts w:asciiTheme="minorHAnsi" w:hAnsiTheme="minorHAnsi" w:cstheme="minorHAnsi"/>
          <w:bCs/>
          <w:sz w:val="24"/>
          <w:szCs w:val="24"/>
        </w:rPr>
        <w:t xml:space="preserve"> Descreve-se a seguir o resultado do exame efetuado no referido processo:</w:t>
      </w:r>
    </w:p>
    <w:p w:rsidR="00E9416F" w:rsidRPr="008C34E0" w:rsidRDefault="00E9416F" w:rsidP="00E9416F">
      <w:pPr>
        <w:spacing w:after="0" w:line="360" w:lineRule="auto"/>
        <w:ind w:firstLine="708"/>
        <w:jc w:val="both"/>
        <w:rPr>
          <w:rFonts w:asciiTheme="minorHAnsi" w:hAnsiTheme="minorHAnsi" w:cstheme="minorHAnsi"/>
          <w:sz w:val="24"/>
          <w:szCs w:val="24"/>
        </w:rPr>
      </w:pPr>
    </w:p>
    <w:p w:rsidR="00E9416F" w:rsidRPr="008C34E0" w:rsidRDefault="00E9416F" w:rsidP="00E941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Theme="minorHAnsi" w:hAnsiTheme="minorHAnsi" w:cstheme="minorHAnsi"/>
          <w:b/>
          <w:sz w:val="24"/>
          <w:szCs w:val="24"/>
        </w:rPr>
      </w:pPr>
      <w:r w:rsidRPr="008C34E0">
        <w:rPr>
          <w:rFonts w:asciiTheme="minorHAnsi" w:hAnsiTheme="minorHAnsi" w:cstheme="minorHAnsi"/>
          <w:b/>
          <w:sz w:val="24"/>
          <w:szCs w:val="24"/>
        </w:rPr>
        <w:t xml:space="preserve">2 – DO EXAME DOS AUTOS </w:t>
      </w:r>
    </w:p>
    <w:p w:rsidR="00E9416F" w:rsidRPr="008C34E0" w:rsidRDefault="00E9416F" w:rsidP="00E9416F">
      <w:pPr>
        <w:spacing w:after="0" w:line="360" w:lineRule="auto"/>
        <w:ind w:firstLine="851"/>
        <w:jc w:val="both"/>
        <w:rPr>
          <w:rFonts w:asciiTheme="minorHAnsi" w:hAnsiTheme="minorHAnsi" w:cstheme="minorHAnsi"/>
          <w:sz w:val="24"/>
          <w:szCs w:val="24"/>
        </w:rPr>
      </w:pPr>
    </w:p>
    <w:p w:rsidR="00E9416F" w:rsidRPr="008C34E0" w:rsidRDefault="00E9416F" w:rsidP="00E9416F">
      <w:pPr>
        <w:pStyle w:val="SemEspaamento"/>
        <w:spacing w:line="360" w:lineRule="auto"/>
        <w:ind w:firstLine="708"/>
        <w:jc w:val="both"/>
        <w:rPr>
          <w:rFonts w:asciiTheme="minorHAnsi" w:hAnsiTheme="minorHAnsi" w:cstheme="minorHAnsi"/>
          <w:sz w:val="24"/>
          <w:szCs w:val="24"/>
        </w:rPr>
      </w:pPr>
      <w:r w:rsidRPr="008C34E0">
        <w:rPr>
          <w:rFonts w:asciiTheme="minorHAnsi" w:hAnsiTheme="minorHAnsi" w:cstheme="minorHAnsi"/>
          <w:sz w:val="24"/>
          <w:szCs w:val="24"/>
        </w:rPr>
        <w:t xml:space="preserve">Feitas as considerações PRELIMINARES acima expostas, passamos a analisar os aspectos que merecem relevo na aferição da </w:t>
      </w:r>
      <w:r w:rsidRPr="008C34E0">
        <w:rPr>
          <w:rFonts w:asciiTheme="minorHAnsi" w:hAnsiTheme="minorHAnsi" w:cstheme="minorHAnsi"/>
          <w:i/>
          <w:sz w:val="24"/>
          <w:szCs w:val="24"/>
        </w:rPr>
        <w:t xml:space="preserve">“análise e emissão de parecer técnico”, </w:t>
      </w:r>
      <w:r w:rsidRPr="008C34E0">
        <w:rPr>
          <w:rFonts w:asciiTheme="minorHAnsi" w:hAnsiTheme="minorHAnsi" w:cstheme="minorHAnsi"/>
          <w:sz w:val="24"/>
          <w:szCs w:val="24"/>
        </w:rPr>
        <w:t xml:space="preserve">conforme requerido pela </w:t>
      </w:r>
      <w:r w:rsidR="00F704A4" w:rsidRPr="008C34E0">
        <w:rPr>
          <w:rFonts w:asciiTheme="minorHAnsi" w:hAnsiTheme="minorHAnsi" w:cstheme="minorHAnsi"/>
          <w:sz w:val="24"/>
          <w:szCs w:val="24"/>
        </w:rPr>
        <w:t xml:space="preserve">Chefia de Gabinete </w:t>
      </w:r>
      <w:r w:rsidRPr="008C34E0">
        <w:rPr>
          <w:rFonts w:asciiTheme="minorHAnsi" w:hAnsiTheme="minorHAnsi" w:cstheme="minorHAnsi"/>
          <w:sz w:val="24"/>
          <w:szCs w:val="24"/>
        </w:rPr>
        <w:t xml:space="preserve">(fls. </w:t>
      </w:r>
      <w:r w:rsidR="00F704A4" w:rsidRPr="008C34E0">
        <w:rPr>
          <w:rFonts w:asciiTheme="minorHAnsi" w:hAnsiTheme="minorHAnsi" w:cstheme="minorHAnsi"/>
          <w:sz w:val="24"/>
          <w:szCs w:val="24"/>
        </w:rPr>
        <w:t>288</w:t>
      </w:r>
      <w:r w:rsidRPr="008C34E0">
        <w:rPr>
          <w:rFonts w:asciiTheme="minorHAnsi" w:hAnsiTheme="minorHAnsi" w:cstheme="minorHAnsi"/>
          <w:sz w:val="24"/>
          <w:szCs w:val="24"/>
        </w:rPr>
        <w:t>).</w:t>
      </w:r>
    </w:p>
    <w:p w:rsidR="00A226DE" w:rsidRPr="008C34E0" w:rsidRDefault="00FA086A" w:rsidP="00E9416F">
      <w:pPr>
        <w:pStyle w:val="SemEspaamento"/>
        <w:spacing w:line="360" w:lineRule="auto"/>
        <w:ind w:firstLine="708"/>
        <w:jc w:val="both"/>
        <w:rPr>
          <w:rFonts w:asciiTheme="minorHAnsi" w:hAnsiTheme="minorHAnsi" w:cstheme="minorHAnsi"/>
          <w:sz w:val="24"/>
          <w:szCs w:val="24"/>
        </w:rPr>
      </w:pPr>
      <w:r w:rsidRPr="008C34E0">
        <w:rPr>
          <w:rFonts w:asciiTheme="minorHAnsi" w:hAnsiTheme="minorHAnsi" w:cstheme="minorHAnsi"/>
          <w:sz w:val="24"/>
          <w:szCs w:val="24"/>
        </w:rPr>
        <w:lastRenderedPageBreak/>
        <w:t xml:space="preserve">2.1. </w:t>
      </w:r>
      <w:r w:rsidR="006C4470" w:rsidRPr="008C34E0">
        <w:rPr>
          <w:rFonts w:asciiTheme="minorHAnsi" w:hAnsiTheme="minorHAnsi" w:cstheme="minorHAnsi"/>
          <w:sz w:val="24"/>
          <w:szCs w:val="24"/>
        </w:rPr>
        <w:t xml:space="preserve">Em análise aos autos constata-se que a </w:t>
      </w:r>
      <w:r w:rsidR="003D78BF" w:rsidRPr="008C34E0">
        <w:rPr>
          <w:rFonts w:asciiTheme="minorHAnsi" w:hAnsiTheme="minorHAnsi" w:cstheme="minorHAnsi"/>
          <w:sz w:val="24"/>
          <w:szCs w:val="24"/>
        </w:rPr>
        <w:t xml:space="preserve">Secretaria de Ciência e Tecnologia - </w:t>
      </w:r>
      <w:r w:rsidR="006C4470" w:rsidRPr="008C34E0">
        <w:rPr>
          <w:rFonts w:asciiTheme="minorHAnsi" w:hAnsiTheme="minorHAnsi" w:cstheme="minorHAnsi"/>
          <w:sz w:val="24"/>
          <w:szCs w:val="24"/>
        </w:rPr>
        <w:t>SECTI</w:t>
      </w:r>
      <w:r w:rsidR="00A226DE" w:rsidRPr="008C34E0">
        <w:rPr>
          <w:rFonts w:asciiTheme="minorHAnsi" w:hAnsiTheme="minorHAnsi" w:cstheme="minorHAnsi"/>
          <w:sz w:val="24"/>
          <w:szCs w:val="24"/>
        </w:rPr>
        <w:t xml:space="preserve"> tinha o Contrato nº 09/2015, referente à prestação de serviços de suporte a </w:t>
      </w:r>
      <w:r w:rsidR="003D78BF" w:rsidRPr="008C34E0">
        <w:rPr>
          <w:rFonts w:asciiTheme="minorHAnsi" w:hAnsiTheme="minorHAnsi" w:cstheme="minorHAnsi"/>
          <w:sz w:val="24"/>
          <w:szCs w:val="24"/>
        </w:rPr>
        <w:t>infraestrutura</w:t>
      </w:r>
      <w:r w:rsidR="00A226DE" w:rsidRPr="008C34E0">
        <w:rPr>
          <w:rFonts w:asciiTheme="minorHAnsi" w:hAnsiTheme="minorHAnsi" w:cstheme="minorHAnsi"/>
          <w:sz w:val="24"/>
          <w:szCs w:val="24"/>
        </w:rPr>
        <w:t xml:space="preserve"> de tecnologia da informação e comunicação que</w:t>
      </w:r>
      <w:r w:rsidR="003D78BF" w:rsidRPr="008C34E0">
        <w:rPr>
          <w:rFonts w:asciiTheme="minorHAnsi" w:hAnsiTheme="minorHAnsi" w:cstheme="minorHAnsi"/>
          <w:sz w:val="24"/>
          <w:szCs w:val="24"/>
        </w:rPr>
        <w:t>,</w:t>
      </w:r>
      <w:r w:rsidR="00A226DE" w:rsidRPr="008C34E0">
        <w:rPr>
          <w:rFonts w:asciiTheme="minorHAnsi" w:hAnsiTheme="minorHAnsi" w:cstheme="minorHAnsi"/>
          <w:sz w:val="24"/>
          <w:szCs w:val="24"/>
        </w:rPr>
        <w:t xml:space="preserve"> de forma continuada ficou a cargo do Instituto de Tecnologia do Estado de Alagoas – ITEC, conforme Ofício </w:t>
      </w:r>
      <w:r w:rsidR="003D78BF" w:rsidRPr="008C34E0">
        <w:rPr>
          <w:rFonts w:asciiTheme="minorHAnsi" w:hAnsiTheme="minorHAnsi" w:cstheme="minorHAnsi"/>
          <w:sz w:val="24"/>
          <w:szCs w:val="24"/>
        </w:rPr>
        <w:t xml:space="preserve">nº </w:t>
      </w:r>
      <w:r w:rsidR="00A226DE" w:rsidRPr="008C34E0">
        <w:rPr>
          <w:rFonts w:asciiTheme="minorHAnsi" w:hAnsiTheme="minorHAnsi" w:cstheme="minorHAnsi"/>
          <w:sz w:val="24"/>
          <w:szCs w:val="24"/>
        </w:rPr>
        <w:t xml:space="preserve">103 GP, datado de 12/07/2016, de lavra do Diretor Presidente do ITEC, solicitando a permanência da prestação de serviços, observado às fls. 27/30. </w:t>
      </w:r>
    </w:p>
    <w:p w:rsidR="00FA086A" w:rsidRPr="008C34E0" w:rsidRDefault="00A226DE" w:rsidP="00E9416F">
      <w:pPr>
        <w:pStyle w:val="SemEspaamento"/>
        <w:spacing w:line="360" w:lineRule="auto"/>
        <w:ind w:firstLine="708"/>
        <w:jc w:val="both"/>
        <w:rPr>
          <w:rFonts w:asciiTheme="minorHAnsi" w:hAnsiTheme="minorHAnsi" w:cstheme="minorHAnsi"/>
          <w:sz w:val="24"/>
          <w:szCs w:val="24"/>
        </w:rPr>
      </w:pPr>
      <w:r w:rsidRPr="008C34E0">
        <w:rPr>
          <w:rFonts w:asciiTheme="minorHAnsi" w:hAnsiTheme="minorHAnsi" w:cstheme="minorHAnsi"/>
          <w:sz w:val="24"/>
          <w:szCs w:val="24"/>
        </w:rPr>
        <w:t xml:space="preserve">2.2. </w:t>
      </w:r>
      <w:r w:rsidR="003D78BF" w:rsidRPr="008C34E0">
        <w:rPr>
          <w:rFonts w:asciiTheme="minorHAnsi" w:hAnsiTheme="minorHAnsi" w:cstheme="minorHAnsi"/>
          <w:sz w:val="24"/>
          <w:szCs w:val="24"/>
        </w:rPr>
        <w:t xml:space="preserve">Das </w:t>
      </w:r>
      <w:r w:rsidR="00FA086A" w:rsidRPr="008C34E0">
        <w:rPr>
          <w:rFonts w:asciiTheme="minorHAnsi" w:hAnsiTheme="minorHAnsi" w:cstheme="minorHAnsi"/>
          <w:sz w:val="24"/>
          <w:szCs w:val="24"/>
        </w:rPr>
        <w:t>fls. 274</w:t>
      </w:r>
      <w:r w:rsidR="007839CA" w:rsidRPr="008C34E0">
        <w:rPr>
          <w:rFonts w:asciiTheme="minorHAnsi" w:hAnsiTheme="minorHAnsi" w:cstheme="minorHAnsi"/>
          <w:sz w:val="24"/>
          <w:szCs w:val="24"/>
        </w:rPr>
        <w:t>/279</w:t>
      </w:r>
      <w:r w:rsidR="00FA086A" w:rsidRPr="008C34E0">
        <w:rPr>
          <w:rFonts w:asciiTheme="minorHAnsi" w:hAnsiTheme="minorHAnsi" w:cstheme="minorHAnsi"/>
          <w:sz w:val="24"/>
          <w:szCs w:val="24"/>
        </w:rPr>
        <w:t xml:space="preserve">, </w:t>
      </w:r>
      <w:r w:rsidR="003D78BF" w:rsidRPr="008C34E0">
        <w:rPr>
          <w:rFonts w:asciiTheme="minorHAnsi" w:hAnsiTheme="minorHAnsi" w:cstheme="minorHAnsi"/>
          <w:sz w:val="24"/>
          <w:szCs w:val="24"/>
        </w:rPr>
        <w:t>observa-se</w:t>
      </w:r>
      <w:r w:rsidR="00FA086A" w:rsidRPr="008C34E0">
        <w:rPr>
          <w:rFonts w:asciiTheme="minorHAnsi" w:hAnsiTheme="minorHAnsi" w:cstheme="minorHAnsi"/>
          <w:sz w:val="24"/>
          <w:szCs w:val="24"/>
        </w:rPr>
        <w:t xml:space="preserve"> Despacho </w:t>
      </w:r>
      <w:r w:rsidR="003D78BF" w:rsidRPr="008C34E0">
        <w:rPr>
          <w:rFonts w:asciiTheme="minorHAnsi" w:hAnsiTheme="minorHAnsi" w:cstheme="minorHAnsi"/>
          <w:sz w:val="24"/>
          <w:szCs w:val="24"/>
        </w:rPr>
        <w:t>S</w:t>
      </w:r>
      <w:r w:rsidR="00FA086A" w:rsidRPr="008C34E0">
        <w:rPr>
          <w:rFonts w:asciiTheme="minorHAnsi" w:hAnsiTheme="minorHAnsi" w:cstheme="minorHAnsi"/>
          <w:sz w:val="24"/>
          <w:szCs w:val="24"/>
        </w:rPr>
        <w:t>/</w:t>
      </w:r>
      <w:r w:rsidR="003D78BF" w:rsidRPr="008C34E0">
        <w:rPr>
          <w:rFonts w:asciiTheme="minorHAnsi" w:hAnsiTheme="minorHAnsi" w:cstheme="minorHAnsi"/>
          <w:sz w:val="24"/>
          <w:szCs w:val="24"/>
        </w:rPr>
        <w:t>N</w:t>
      </w:r>
      <w:r w:rsidR="00FA086A" w:rsidRPr="008C34E0">
        <w:rPr>
          <w:rFonts w:asciiTheme="minorHAnsi" w:hAnsiTheme="minorHAnsi" w:cstheme="minorHAnsi"/>
          <w:sz w:val="24"/>
          <w:szCs w:val="24"/>
        </w:rPr>
        <w:t xml:space="preserve">, datado de 25/05/2017, de lavra do Diretor Presidente do ITEC, José Luciano dos Santos Júnior, narrando todos </w:t>
      </w:r>
      <w:r w:rsidRPr="008C34E0">
        <w:rPr>
          <w:rFonts w:asciiTheme="minorHAnsi" w:hAnsiTheme="minorHAnsi" w:cstheme="minorHAnsi"/>
          <w:sz w:val="24"/>
          <w:szCs w:val="24"/>
        </w:rPr>
        <w:t xml:space="preserve">os </w:t>
      </w:r>
      <w:r w:rsidR="00FA086A" w:rsidRPr="008C34E0">
        <w:rPr>
          <w:rFonts w:asciiTheme="minorHAnsi" w:hAnsiTheme="minorHAnsi" w:cstheme="minorHAnsi"/>
          <w:sz w:val="24"/>
          <w:szCs w:val="24"/>
        </w:rPr>
        <w:t xml:space="preserve">atos procedidos no processo, inclusive o reconhecimento da dívida e a justificativa pelo não pagamento, encaminhando a Controladoria Geral do Estado – CGE, para análise e parecer quanto </w:t>
      </w:r>
      <w:r w:rsidR="008C34E0" w:rsidRPr="008C34E0">
        <w:rPr>
          <w:rFonts w:asciiTheme="minorHAnsi" w:hAnsiTheme="minorHAnsi" w:cstheme="minorHAnsi"/>
          <w:sz w:val="24"/>
          <w:szCs w:val="24"/>
        </w:rPr>
        <w:t>à</w:t>
      </w:r>
      <w:r w:rsidR="00FA086A" w:rsidRPr="008C34E0">
        <w:rPr>
          <w:rFonts w:asciiTheme="minorHAnsi" w:hAnsiTheme="minorHAnsi" w:cstheme="minorHAnsi"/>
          <w:sz w:val="24"/>
          <w:szCs w:val="24"/>
        </w:rPr>
        <w:t xml:space="preserve"> realização do referido pagamento, por ser de exercício anterior.</w:t>
      </w:r>
    </w:p>
    <w:p w:rsidR="00F704A4" w:rsidRPr="008C34E0" w:rsidRDefault="00E9416F" w:rsidP="00E9416F">
      <w:pPr>
        <w:pStyle w:val="SemEspaamento"/>
        <w:spacing w:line="360" w:lineRule="auto"/>
        <w:ind w:firstLine="708"/>
        <w:jc w:val="both"/>
        <w:rPr>
          <w:rFonts w:asciiTheme="minorHAnsi" w:hAnsiTheme="minorHAnsi" w:cstheme="minorHAnsi"/>
          <w:sz w:val="24"/>
          <w:szCs w:val="24"/>
        </w:rPr>
      </w:pPr>
      <w:r w:rsidRPr="008C34E0">
        <w:rPr>
          <w:rFonts w:asciiTheme="minorHAnsi" w:hAnsiTheme="minorHAnsi" w:cstheme="minorHAnsi"/>
          <w:sz w:val="24"/>
          <w:szCs w:val="24"/>
        </w:rPr>
        <w:t>2.</w:t>
      </w:r>
      <w:r w:rsidR="00B250D8" w:rsidRPr="008C34E0">
        <w:rPr>
          <w:rFonts w:asciiTheme="minorHAnsi" w:hAnsiTheme="minorHAnsi" w:cstheme="minorHAnsi"/>
          <w:sz w:val="24"/>
          <w:szCs w:val="24"/>
        </w:rPr>
        <w:t>3</w:t>
      </w:r>
      <w:r w:rsidRPr="008C34E0">
        <w:rPr>
          <w:rFonts w:asciiTheme="minorHAnsi" w:hAnsiTheme="minorHAnsi" w:cstheme="minorHAnsi"/>
          <w:sz w:val="24"/>
          <w:szCs w:val="24"/>
        </w:rPr>
        <w:t xml:space="preserve">. </w:t>
      </w:r>
      <w:r w:rsidR="00F704A4" w:rsidRPr="008C34E0">
        <w:rPr>
          <w:rFonts w:asciiTheme="minorHAnsi" w:hAnsiTheme="minorHAnsi" w:cstheme="minorHAnsi"/>
          <w:sz w:val="24"/>
          <w:szCs w:val="24"/>
        </w:rPr>
        <w:t>Ás fls. 285 c</w:t>
      </w:r>
      <w:r w:rsidRPr="008C34E0">
        <w:rPr>
          <w:rFonts w:asciiTheme="minorHAnsi" w:hAnsiTheme="minorHAnsi" w:cstheme="minorHAnsi"/>
          <w:sz w:val="24"/>
          <w:szCs w:val="24"/>
        </w:rPr>
        <w:t>on</w:t>
      </w:r>
      <w:r w:rsidR="00F704A4" w:rsidRPr="008C34E0">
        <w:rPr>
          <w:rFonts w:asciiTheme="minorHAnsi" w:hAnsiTheme="minorHAnsi" w:cstheme="minorHAnsi"/>
          <w:sz w:val="24"/>
          <w:szCs w:val="24"/>
        </w:rPr>
        <w:t>s</w:t>
      </w:r>
      <w:r w:rsidRPr="008C34E0">
        <w:rPr>
          <w:rFonts w:asciiTheme="minorHAnsi" w:hAnsiTheme="minorHAnsi" w:cstheme="minorHAnsi"/>
          <w:sz w:val="24"/>
          <w:szCs w:val="24"/>
        </w:rPr>
        <w:t xml:space="preserve">tata-se </w:t>
      </w:r>
      <w:r w:rsidR="00F704A4" w:rsidRPr="008C34E0">
        <w:rPr>
          <w:rFonts w:asciiTheme="minorHAnsi" w:hAnsiTheme="minorHAnsi" w:cstheme="minorHAnsi"/>
          <w:sz w:val="24"/>
          <w:szCs w:val="24"/>
        </w:rPr>
        <w:t>publicação</w:t>
      </w:r>
      <w:r w:rsidR="00A226DE" w:rsidRPr="008C34E0">
        <w:rPr>
          <w:rFonts w:asciiTheme="minorHAnsi" w:hAnsiTheme="minorHAnsi" w:cstheme="minorHAnsi"/>
          <w:sz w:val="24"/>
          <w:szCs w:val="24"/>
        </w:rPr>
        <w:t xml:space="preserve"> </w:t>
      </w:r>
      <w:r w:rsidR="00B250D8" w:rsidRPr="008C34E0">
        <w:rPr>
          <w:rFonts w:asciiTheme="minorHAnsi" w:hAnsiTheme="minorHAnsi" w:cstheme="minorHAnsi"/>
          <w:sz w:val="24"/>
          <w:szCs w:val="24"/>
        </w:rPr>
        <w:t xml:space="preserve">do DOE, datado de 12/04/2017, </w:t>
      </w:r>
      <w:r w:rsidR="00A226DE" w:rsidRPr="008C34E0">
        <w:rPr>
          <w:rFonts w:asciiTheme="minorHAnsi" w:hAnsiTheme="minorHAnsi" w:cstheme="minorHAnsi"/>
          <w:sz w:val="24"/>
          <w:szCs w:val="24"/>
        </w:rPr>
        <w:t xml:space="preserve">da Nota </w:t>
      </w:r>
      <w:proofErr w:type="spellStart"/>
      <w:r w:rsidR="00A226DE" w:rsidRPr="008C34E0">
        <w:rPr>
          <w:rFonts w:asciiTheme="minorHAnsi" w:hAnsiTheme="minorHAnsi" w:cstheme="minorHAnsi"/>
          <w:sz w:val="24"/>
          <w:szCs w:val="24"/>
        </w:rPr>
        <w:t>Recomendatória</w:t>
      </w:r>
      <w:proofErr w:type="spellEnd"/>
      <w:r w:rsidR="00A226DE" w:rsidRPr="008C34E0">
        <w:rPr>
          <w:rFonts w:asciiTheme="minorHAnsi" w:hAnsiTheme="minorHAnsi" w:cstheme="minorHAnsi"/>
          <w:sz w:val="24"/>
          <w:szCs w:val="24"/>
        </w:rPr>
        <w:t xml:space="preserve"> </w:t>
      </w:r>
      <w:r w:rsidR="003D78BF" w:rsidRPr="008C34E0">
        <w:rPr>
          <w:rFonts w:asciiTheme="minorHAnsi" w:hAnsiTheme="minorHAnsi" w:cstheme="minorHAnsi"/>
          <w:sz w:val="24"/>
          <w:szCs w:val="24"/>
        </w:rPr>
        <w:t xml:space="preserve">do Ministério Público </w:t>
      </w:r>
      <w:r w:rsidR="008C34E0" w:rsidRPr="008C34E0">
        <w:rPr>
          <w:rFonts w:asciiTheme="minorHAnsi" w:hAnsiTheme="minorHAnsi" w:cstheme="minorHAnsi"/>
          <w:sz w:val="24"/>
          <w:szCs w:val="24"/>
        </w:rPr>
        <w:t>E</w:t>
      </w:r>
      <w:r w:rsidR="003D78BF" w:rsidRPr="008C34E0">
        <w:rPr>
          <w:rFonts w:asciiTheme="minorHAnsi" w:hAnsiTheme="minorHAnsi" w:cstheme="minorHAnsi"/>
          <w:sz w:val="24"/>
          <w:szCs w:val="24"/>
        </w:rPr>
        <w:t xml:space="preserve">stadual – MPE, encaminhada </w:t>
      </w:r>
      <w:r w:rsidR="00A226DE" w:rsidRPr="008C34E0">
        <w:rPr>
          <w:rFonts w:asciiTheme="minorHAnsi" w:hAnsiTheme="minorHAnsi" w:cstheme="minorHAnsi"/>
          <w:sz w:val="24"/>
          <w:szCs w:val="24"/>
        </w:rPr>
        <w:t>ao Instituto de Tecnologia do Estado de Alagoas – ITEC</w:t>
      </w:r>
      <w:r w:rsidR="00F704A4" w:rsidRPr="008C34E0">
        <w:rPr>
          <w:rFonts w:asciiTheme="minorHAnsi" w:hAnsiTheme="minorHAnsi" w:cstheme="minorHAnsi"/>
          <w:sz w:val="24"/>
          <w:szCs w:val="24"/>
        </w:rPr>
        <w:t xml:space="preserve">, onde </w:t>
      </w:r>
      <w:r w:rsidR="00A37A08" w:rsidRPr="008C34E0">
        <w:rPr>
          <w:rFonts w:asciiTheme="minorHAnsi" w:hAnsiTheme="minorHAnsi" w:cstheme="minorHAnsi"/>
          <w:sz w:val="24"/>
          <w:szCs w:val="24"/>
        </w:rPr>
        <w:t>recomend</w:t>
      </w:r>
      <w:r w:rsidR="00F704A4" w:rsidRPr="008C34E0">
        <w:rPr>
          <w:rFonts w:asciiTheme="minorHAnsi" w:hAnsiTheme="minorHAnsi" w:cstheme="minorHAnsi"/>
          <w:sz w:val="24"/>
          <w:szCs w:val="24"/>
        </w:rPr>
        <w:t>a:</w:t>
      </w:r>
    </w:p>
    <w:p w:rsidR="00A37A08" w:rsidRPr="008C34E0" w:rsidRDefault="00A37A08" w:rsidP="00A37A08">
      <w:pPr>
        <w:pStyle w:val="SemEspaamento"/>
        <w:tabs>
          <w:tab w:val="left" w:pos="3544"/>
          <w:tab w:val="left" w:pos="7655"/>
          <w:tab w:val="left" w:pos="8505"/>
        </w:tabs>
        <w:spacing w:line="360" w:lineRule="auto"/>
        <w:ind w:left="3544"/>
        <w:jc w:val="both"/>
        <w:rPr>
          <w:rFonts w:asciiTheme="minorHAnsi" w:hAnsiTheme="minorHAnsi" w:cstheme="minorHAnsi"/>
          <w:b/>
          <w:sz w:val="20"/>
          <w:szCs w:val="20"/>
        </w:rPr>
      </w:pPr>
      <w:proofErr w:type="gramStart"/>
      <w:r w:rsidRPr="008C34E0">
        <w:rPr>
          <w:rFonts w:asciiTheme="minorHAnsi" w:hAnsiTheme="minorHAnsi" w:cstheme="minorHAnsi"/>
          <w:b/>
          <w:sz w:val="20"/>
          <w:szCs w:val="20"/>
        </w:rPr>
        <w:t>1</w:t>
      </w:r>
      <w:proofErr w:type="gramEnd"/>
      <w:r w:rsidRPr="008C34E0">
        <w:rPr>
          <w:rFonts w:asciiTheme="minorHAnsi" w:hAnsiTheme="minorHAnsi" w:cstheme="minorHAnsi"/>
          <w:b/>
          <w:sz w:val="20"/>
          <w:szCs w:val="20"/>
        </w:rPr>
        <w:t>) Remeta a esta Promotoria de Justiça, improrrogavelmente no prazo de 90 (noventa) dias úteis desta, proposta de cronograma de realização de concurso público para provimento das vagas disponíveis nos quadros do ITEC, conforme a carência apresentada pela mesma;</w:t>
      </w:r>
    </w:p>
    <w:p w:rsidR="00A37A08" w:rsidRPr="008C34E0" w:rsidRDefault="00A37A08" w:rsidP="00F704A4">
      <w:pPr>
        <w:pStyle w:val="SemEspaamento"/>
        <w:tabs>
          <w:tab w:val="left" w:pos="3544"/>
          <w:tab w:val="left" w:pos="7655"/>
          <w:tab w:val="left" w:pos="8505"/>
        </w:tabs>
        <w:spacing w:line="360" w:lineRule="auto"/>
        <w:ind w:left="3544"/>
        <w:jc w:val="both"/>
        <w:rPr>
          <w:rFonts w:asciiTheme="minorHAnsi" w:hAnsiTheme="minorHAnsi" w:cstheme="minorHAnsi"/>
          <w:b/>
          <w:sz w:val="20"/>
          <w:szCs w:val="20"/>
        </w:rPr>
      </w:pPr>
      <w:proofErr w:type="gramStart"/>
      <w:r w:rsidRPr="008C34E0">
        <w:rPr>
          <w:rFonts w:asciiTheme="minorHAnsi" w:hAnsiTheme="minorHAnsi" w:cstheme="minorHAnsi"/>
          <w:b/>
          <w:sz w:val="20"/>
          <w:szCs w:val="20"/>
        </w:rPr>
        <w:t>2</w:t>
      </w:r>
      <w:proofErr w:type="gramEnd"/>
      <w:r w:rsidRPr="008C34E0">
        <w:rPr>
          <w:rFonts w:asciiTheme="minorHAnsi" w:hAnsiTheme="minorHAnsi" w:cstheme="minorHAnsi"/>
          <w:b/>
          <w:sz w:val="20"/>
          <w:szCs w:val="20"/>
        </w:rPr>
        <w:t>) Seja deflagrado, no prazo máximo de 120 (cento e vinte dias), após devida licitação, com a necessária publicação do edital no Diário Oficial do Estado, a abertura de concurso público para preenchimento dos cargos vagos existentes;</w:t>
      </w:r>
    </w:p>
    <w:p w:rsidR="00F704A4" w:rsidRPr="008C34E0" w:rsidRDefault="00F704A4" w:rsidP="00F704A4">
      <w:pPr>
        <w:pStyle w:val="SemEspaamento"/>
        <w:tabs>
          <w:tab w:val="left" w:pos="3544"/>
          <w:tab w:val="left" w:pos="7655"/>
          <w:tab w:val="left" w:pos="8505"/>
        </w:tabs>
        <w:spacing w:line="360" w:lineRule="auto"/>
        <w:ind w:left="3544"/>
        <w:jc w:val="both"/>
        <w:rPr>
          <w:rFonts w:asciiTheme="minorHAnsi" w:hAnsiTheme="minorHAnsi" w:cstheme="minorHAnsi"/>
          <w:b/>
          <w:sz w:val="20"/>
          <w:szCs w:val="20"/>
          <w:u w:val="single"/>
        </w:rPr>
      </w:pPr>
      <w:proofErr w:type="gramStart"/>
      <w:r w:rsidRPr="008C34E0">
        <w:rPr>
          <w:rFonts w:asciiTheme="minorHAnsi" w:hAnsiTheme="minorHAnsi" w:cstheme="minorHAnsi"/>
          <w:b/>
          <w:sz w:val="20"/>
          <w:szCs w:val="20"/>
          <w:u w:val="single"/>
        </w:rPr>
        <w:t>3</w:t>
      </w:r>
      <w:proofErr w:type="gramEnd"/>
      <w:r w:rsidRPr="008C34E0">
        <w:rPr>
          <w:rFonts w:asciiTheme="minorHAnsi" w:hAnsiTheme="minorHAnsi" w:cstheme="minorHAnsi"/>
          <w:b/>
          <w:sz w:val="20"/>
          <w:szCs w:val="20"/>
          <w:u w:val="single"/>
        </w:rPr>
        <w:t xml:space="preserve">) Proceda-se a liquidação dos valores devidos, comprovados através de ajustes de contas, lavrando-se o devido termo de ajuste de contas e publicado no órgão oficial consoante artigos 60-64 da Lei 4.420/64. </w:t>
      </w:r>
      <w:proofErr w:type="gramStart"/>
      <w:r w:rsidRPr="008C34E0">
        <w:rPr>
          <w:rFonts w:asciiTheme="minorHAnsi" w:hAnsiTheme="minorHAnsi" w:cstheme="minorHAnsi"/>
          <w:b/>
          <w:sz w:val="20"/>
          <w:szCs w:val="20"/>
          <w:u w:val="single"/>
        </w:rPr>
        <w:t>[onde ler-se Lei 4.420/64 leia-se Lei 4.320/64</w:t>
      </w:r>
      <w:r w:rsidR="003D78BF" w:rsidRPr="008C34E0">
        <w:rPr>
          <w:rFonts w:asciiTheme="minorHAnsi" w:hAnsiTheme="minorHAnsi" w:cstheme="minorHAnsi"/>
          <w:b/>
          <w:sz w:val="20"/>
          <w:szCs w:val="20"/>
          <w:u w:val="single"/>
        </w:rPr>
        <w:t>.</w:t>
      </w:r>
      <w:proofErr w:type="gramEnd"/>
      <w:r w:rsidR="003D78BF" w:rsidRPr="008C34E0">
        <w:rPr>
          <w:rFonts w:asciiTheme="minorHAnsi" w:hAnsiTheme="minorHAnsi" w:cstheme="minorHAnsi"/>
          <w:b/>
          <w:sz w:val="20"/>
          <w:szCs w:val="20"/>
          <w:u w:val="single"/>
        </w:rPr>
        <w:t xml:space="preserve"> (</w:t>
      </w:r>
      <w:r w:rsidRPr="008C34E0">
        <w:rPr>
          <w:rFonts w:asciiTheme="minorHAnsi" w:hAnsiTheme="minorHAnsi" w:cstheme="minorHAnsi"/>
          <w:b/>
          <w:sz w:val="20"/>
          <w:szCs w:val="20"/>
          <w:u w:val="single"/>
        </w:rPr>
        <w:t>grifo nosso</w:t>
      </w:r>
      <w:r w:rsidR="003D78BF" w:rsidRPr="008C34E0">
        <w:rPr>
          <w:rFonts w:asciiTheme="minorHAnsi" w:hAnsiTheme="minorHAnsi" w:cstheme="minorHAnsi"/>
          <w:b/>
          <w:sz w:val="20"/>
          <w:szCs w:val="20"/>
          <w:u w:val="single"/>
        </w:rPr>
        <w:t>)</w:t>
      </w:r>
      <w:r w:rsidRPr="008C34E0">
        <w:rPr>
          <w:rFonts w:asciiTheme="minorHAnsi" w:hAnsiTheme="minorHAnsi" w:cstheme="minorHAnsi"/>
          <w:b/>
          <w:sz w:val="20"/>
          <w:szCs w:val="20"/>
          <w:u w:val="single"/>
        </w:rPr>
        <w:t>.</w:t>
      </w:r>
    </w:p>
    <w:p w:rsidR="00FA086A" w:rsidRPr="008C34E0" w:rsidRDefault="00FA086A" w:rsidP="00F704A4">
      <w:pPr>
        <w:pStyle w:val="SemEspaamento"/>
        <w:tabs>
          <w:tab w:val="left" w:pos="3544"/>
          <w:tab w:val="left" w:pos="7655"/>
          <w:tab w:val="left" w:pos="8505"/>
        </w:tabs>
        <w:spacing w:line="360" w:lineRule="auto"/>
        <w:ind w:left="3544"/>
        <w:jc w:val="both"/>
        <w:rPr>
          <w:rFonts w:asciiTheme="minorHAnsi" w:hAnsiTheme="minorHAnsi" w:cstheme="minorHAnsi"/>
          <w:b/>
          <w:sz w:val="20"/>
          <w:szCs w:val="20"/>
        </w:rPr>
      </w:pPr>
      <w:proofErr w:type="gramStart"/>
      <w:r w:rsidRPr="008C34E0">
        <w:rPr>
          <w:rFonts w:asciiTheme="minorHAnsi" w:hAnsiTheme="minorHAnsi" w:cstheme="minorHAnsi"/>
          <w:b/>
          <w:sz w:val="20"/>
          <w:szCs w:val="20"/>
        </w:rPr>
        <w:t>4</w:t>
      </w:r>
      <w:proofErr w:type="gramEnd"/>
      <w:r w:rsidRPr="008C34E0">
        <w:rPr>
          <w:rFonts w:asciiTheme="minorHAnsi" w:hAnsiTheme="minorHAnsi" w:cstheme="minorHAnsi"/>
          <w:b/>
          <w:sz w:val="20"/>
          <w:szCs w:val="20"/>
        </w:rPr>
        <w:t xml:space="preserve">) Informe ao Ministério Público do Estado de Alagoas as medidas adotadas para o cumprimento da presente notificação </w:t>
      </w:r>
      <w:proofErr w:type="spellStart"/>
      <w:r w:rsidRPr="008C34E0">
        <w:rPr>
          <w:rFonts w:asciiTheme="minorHAnsi" w:hAnsiTheme="minorHAnsi" w:cstheme="minorHAnsi"/>
          <w:b/>
          <w:sz w:val="20"/>
          <w:szCs w:val="20"/>
        </w:rPr>
        <w:t>recomendatória</w:t>
      </w:r>
      <w:proofErr w:type="spellEnd"/>
      <w:r w:rsidRPr="008C34E0">
        <w:rPr>
          <w:rFonts w:asciiTheme="minorHAnsi" w:hAnsiTheme="minorHAnsi" w:cstheme="minorHAnsi"/>
          <w:b/>
          <w:sz w:val="20"/>
          <w:szCs w:val="20"/>
        </w:rPr>
        <w:t xml:space="preserve">, no prazo máximo de 20 (vinte) dias úteis. Adverte-se, na ocasião, que o não atendimento desta notificação </w:t>
      </w:r>
      <w:proofErr w:type="spellStart"/>
      <w:r w:rsidRPr="008C34E0">
        <w:rPr>
          <w:rFonts w:asciiTheme="minorHAnsi" w:hAnsiTheme="minorHAnsi" w:cstheme="minorHAnsi"/>
          <w:b/>
          <w:sz w:val="20"/>
          <w:szCs w:val="20"/>
        </w:rPr>
        <w:t>recomendatória</w:t>
      </w:r>
      <w:proofErr w:type="spellEnd"/>
      <w:r w:rsidRPr="008C34E0">
        <w:rPr>
          <w:rFonts w:asciiTheme="minorHAnsi" w:hAnsiTheme="minorHAnsi" w:cstheme="minorHAnsi"/>
          <w:b/>
          <w:sz w:val="20"/>
          <w:szCs w:val="20"/>
        </w:rPr>
        <w:t xml:space="preserve"> evidenciará a prática de ato de improbidade administrativa por parte de Vossa Excelência, por força do disposto no art. 11, caput, da Lei </w:t>
      </w:r>
      <w:r w:rsidR="008C34E0">
        <w:rPr>
          <w:rFonts w:asciiTheme="minorHAnsi" w:hAnsiTheme="minorHAnsi" w:cstheme="minorHAnsi"/>
          <w:b/>
          <w:sz w:val="20"/>
          <w:szCs w:val="20"/>
        </w:rPr>
        <w:t xml:space="preserve">nº </w:t>
      </w:r>
      <w:r w:rsidRPr="008C34E0">
        <w:rPr>
          <w:rFonts w:asciiTheme="minorHAnsi" w:hAnsiTheme="minorHAnsi" w:cstheme="minorHAnsi"/>
          <w:b/>
          <w:sz w:val="20"/>
          <w:szCs w:val="20"/>
        </w:rPr>
        <w:t xml:space="preserve">429/92, sem prejuízo de outras ações civis para o cumprimento dos princípios constitucionais supracitados.  </w:t>
      </w:r>
    </w:p>
    <w:p w:rsidR="00E25786" w:rsidRPr="008C34E0" w:rsidRDefault="00F8136E" w:rsidP="00B250D8">
      <w:pPr>
        <w:suppressAutoHyphens/>
        <w:spacing w:after="0" w:line="360" w:lineRule="auto"/>
        <w:ind w:firstLine="708"/>
        <w:jc w:val="both"/>
        <w:rPr>
          <w:rFonts w:asciiTheme="minorHAnsi" w:hAnsiTheme="minorHAnsi" w:cstheme="minorHAnsi"/>
          <w:sz w:val="24"/>
          <w:szCs w:val="24"/>
        </w:rPr>
      </w:pPr>
      <w:r w:rsidRPr="008C34E0">
        <w:rPr>
          <w:rFonts w:asciiTheme="minorHAnsi" w:hAnsiTheme="minorHAnsi" w:cstheme="minorHAnsi"/>
          <w:sz w:val="24"/>
          <w:szCs w:val="24"/>
        </w:rPr>
        <w:lastRenderedPageBreak/>
        <w:t>2.</w:t>
      </w:r>
      <w:r w:rsidR="00B250D8" w:rsidRPr="008C34E0">
        <w:rPr>
          <w:rFonts w:asciiTheme="minorHAnsi" w:hAnsiTheme="minorHAnsi" w:cstheme="minorHAnsi"/>
          <w:sz w:val="24"/>
          <w:szCs w:val="24"/>
        </w:rPr>
        <w:t>4</w:t>
      </w:r>
      <w:r w:rsidRPr="008C34E0">
        <w:rPr>
          <w:rFonts w:asciiTheme="minorHAnsi" w:hAnsiTheme="minorHAnsi" w:cstheme="minorHAnsi"/>
          <w:sz w:val="24"/>
          <w:szCs w:val="24"/>
        </w:rPr>
        <w:t xml:space="preserve">. </w:t>
      </w:r>
      <w:r w:rsidR="003D78BF" w:rsidRPr="008C34E0">
        <w:rPr>
          <w:rFonts w:asciiTheme="minorHAnsi" w:hAnsiTheme="minorHAnsi" w:cstheme="minorHAnsi"/>
          <w:sz w:val="24"/>
          <w:szCs w:val="24"/>
        </w:rPr>
        <w:t>Em atendimento ao art. 48 do Decreto Estadual nº 51.868/2017, § 1º, v</w:t>
      </w:r>
      <w:r w:rsidR="00B250D8" w:rsidRPr="008C34E0">
        <w:rPr>
          <w:rFonts w:asciiTheme="minorHAnsi" w:hAnsiTheme="minorHAnsi" w:cstheme="minorHAnsi"/>
          <w:sz w:val="24"/>
          <w:szCs w:val="24"/>
        </w:rPr>
        <w:t xml:space="preserve">erifica-se que </w:t>
      </w:r>
      <w:r w:rsidR="008C34E0" w:rsidRPr="008C34E0">
        <w:rPr>
          <w:rFonts w:asciiTheme="minorHAnsi" w:hAnsiTheme="minorHAnsi" w:cstheme="minorHAnsi"/>
          <w:sz w:val="24"/>
          <w:szCs w:val="24"/>
        </w:rPr>
        <w:t xml:space="preserve">a diretoria do ITEC apresenta </w:t>
      </w:r>
      <w:r w:rsidR="00B250D8" w:rsidRPr="008C34E0">
        <w:rPr>
          <w:rFonts w:asciiTheme="minorHAnsi" w:hAnsiTheme="minorHAnsi" w:cstheme="minorHAnsi"/>
          <w:sz w:val="24"/>
          <w:szCs w:val="24"/>
        </w:rPr>
        <w:t xml:space="preserve">o reconhecimento </w:t>
      </w:r>
      <w:r w:rsidR="003D78BF" w:rsidRPr="008C34E0">
        <w:rPr>
          <w:rFonts w:asciiTheme="minorHAnsi" w:hAnsiTheme="minorHAnsi" w:cstheme="minorHAnsi"/>
          <w:sz w:val="24"/>
          <w:szCs w:val="24"/>
        </w:rPr>
        <w:t xml:space="preserve">da dívida, </w:t>
      </w:r>
      <w:r w:rsidR="00B250D8" w:rsidRPr="008C34E0">
        <w:rPr>
          <w:rFonts w:asciiTheme="minorHAnsi" w:hAnsiTheme="minorHAnsi" w:cstheme="minorHAnsi"/>
          <w:sz w:val="24"/>
          <w:szCs w:val="24"/>
        </w:rPr>
        <w:t xml:space="preserve">a justificativa do não pagamento da dívida pelo Gestor do Órgão, </w:t>
      </w:r>
      <w:r w:rsidR="008C34E0" w:rsidRPr="008C34E0">
        <w:rPr>
          <w:rFonts w:asciiTheme="minorHAnsi" w:hAnsiTheme="minorHAnsi" w:cstheme="minorHAnsi"/>
          <w:sz w:val="24"/>
          <w:szCs w:val="24"/>
        </w:rPr>
        <w:t xml:space="preserve">salienta </w:t>
      </w:r>
      <w:r w:rsidR="003D78BF" w:rsidRPr="008C34E0">
        <w:rPr>
          <w:rFonts w:asciiTheme="minorHAnsi" w:hAnsiTheme="minorHAnsi" w:cstheme="minorHAnsi"/>
          <w:sz w:val="24"/>
          <w:szCs w:val="24"/>
        </w:rPr>
        <w:t xml:space="preserve">que a dívida é exequível no orçamento </w:t>
      </w:r>
      <w:r w:rsidR="008C34E0" w:rsidRPr="008C34E0">
        <w:rPr>
          <w:rFonts w:asciiTheme="minorHAnsi" w:hAnsiTheme="minorHAnsi" w:cstheme="minorHAnsi"/>
          <w:sz w:val="24"/>
          <w:szCs w:val="24"/>
        </w:rPr>
        <w:t xml:space="preserve">vigente </w:t>
      </w:r>
      <w:r w:rsidR="003D78BF" w:rsidRPr="008C34E0">
        <w:rPr>
          <w:rFonts w:asciiTheme="minorHAnsi" w:hAnsiTheme="minorHAnsi" w:cstheme="minorHAnsi"/>
          <w:sz w:val="24"/>
          <w:szCs w:val="24"/>
        </w:rPr>
        <w:t>e apresenta o seu impacto-financeiro no exercício de 2017</w:t>
      </w:r>
      <w:r w:rsidR="008C34E0" w:rsidRPr="008C34E0">
        <w:rPr>
          <w:rFonts w:asciiTheme="minorHAnsi" w:hAnsiTheme="minorHAnsi" w:cstheme="minorHAnsi"/>
          <w:sz w:val="24"/>
          <w:szCs w:val="24"/>
        </w:rPr>
        <w:t>, salienta, ainda, que o impacto não impedirá ou prejudicará o funcionamento das atividades do ITEC, conforme fls.</w:t>
      </w:r>
      <w:r w:rsidR="008C34E0">
        <w:rPr>
          <w:rFonts w:asciiTheme="minorHAnsi" w:hAnsiTheme="minorHAnsi" w:cstheme="minorHAnsi"/>
          <w:sz w:val="24"/>
          <w:szCs w:val="24"/>
        </w:rPr>
        <w:t xml:space="preserve"> </w:t>
      </w:r>
      <w:r w:rsidR="008C34E0" w:rsidRPr="008C34E0">
        <w:rPr>
          <w:rFonts w:asciiTheme="minorHAnsi" w:hAnsiTheme="minorHAnsi" w:cstheme="minorHAnsi"/>
          <w:sz w:val="24"/>
          <w:szCs w:val="24"/>
        </w:rPr>
        <w:t>286/287.</w:t>
      </w:r>
    </w:p>
    <w:p w:rsidR="006C4470" w:rsidRPr="008C34E0" w:rsidRDefault="006C4470" w:rsidP="00E25786">
      <w:pPr>
        <w:suppressAutoHyphens/>
        <w:spacing w:after="0" w:line="360" w:lineRule="auto"/>
        <w:ind w:firstLine="708"/>
        <w:rPr>
          <w:rFonts w:asciiTheme="minorHAnsi" w:hAnsiTheme="minorHAnsi" w:cstheme="minorHAnsi"/>
          <w:sz w:val="24"/>
          <w:szCs w:val="24"/>
        </w:rPr>
      </w:pPr>
      <w:r w:rsidRPr="008C34E0">
        <w:rPr>
          <w:rFonts w:asciiTheme="minorHAnsi" w:hAnsiTheme="minorHAnsi" w:cstheme="minorHAnsi"/>
          <w:sz w:val="24"/>
          <w:szCs w:val="24"/>
        </w:rPr>
        <w:t>2.</w:t>
      </w:r>
      <w:r w:rsidR="00B250D8" w:rsidRPr="008C34E0">
        <w:rPr>
          <w:rFonts w:asciiTheme="minorHAnsi" w:hAnsiTheme="minorHAnsi" w:cstheme="minorHAnsi"/>
          <w:sz w:val="24"/>
          <w:szCs w:val="24"/>
        </w:rPr>
        <w:t>5</w:t>
      </w:r>
      <w:r w:rsidRPr="008C34E0">
        <w:rPr>
          <w:rFonts w:asciiTheme="minorHAnsi" w:hAnsiTheme="minorHAnsi" w:cstheme="minorHAnsi"/>
          <w:sz w:val="24"/>
          <w:szCs w:val="24"/>
        </w:rPr>
        <w:t>. Con</w:t>
      </w:r>
      <w:r w:rsidR="008C34E0" w:rsidRPr="008C34E0">
        <w:rPr>
          <w:rFonts w:asciiTheme="minorHAnsi" w:hAnsiTheme="minorHAnsi" w:cstheme="minorHAnsi"/>
          <w:sz w:val="24"/>
          <w:szCs w:val="24"/>
        </w:rPr>
        <w:t>s</w:t>
      </w:r>
      <w:r w:rsidRPr="008C34E0">
        <w:rPr>
          <w:rFonts w:asciiTheme="minorHAnsi" w:hAnsiTheme="minorHAnsi" w:cstheme="minorHAnsi"/>
          <w:sz w:val="24"/>
          <w:szCs w:val="24"/>
        </w:rPr>
        <w:t>tata-se que as Certidões de Regularidade Fiscal encontram-se vencidas.</w:t>
      </w:r>
    </w:p>
    <w:p w:rsidR="007839CA" w:rsidRPr="008C34E0" w:rsidRDefault="007839CA" w:rsidP="00E25786">
      <w:pPr>
        <w:suppressAutoHyphens/>
        <w:spacing w:after="0" w:line="360" w:lineRule="auto"/>
        <w:ind w:firstLine="708"/>
        <w:rPr>
          <w:rFonts w:asciiTheme="minorHAnsi" w:hAnsiTheme="minorHAnsi" w:cstheme="minorHAnsi"/>
          <w:b/>
          <w:sz w:val="24"/>
          <w:szCs w:val="24"/>
        </w:rPr>
      </w:pPr>
    </w:p>
    <w:p w:rsidR="00E25786" w:rsidRPr="008C34E0" w:rsidRDefault="00E25786" w:rsidP="00E25786">
      <w:pPr>
        <w:suppressAutoHyphens/>
        <w:spacing w:after="0" w:line="360" w:lineRule="auto"/>
        <w:ind w:firstLine="708"/>
        <w:rPr>
          <w:rFonts w:asciiTheme="minorHAnsi" w:hAnsiTheme="minorHAnsi" w:cstheme="minorHAnsi"/>
          <w:b/>
          <w:sz w:val="24"/>
          <w:szCs w:val="24"/>
        </w:rPr>
      </w:pPr>
      <w:r w:rsidRPr="008C34E0">
        <w:rPr>
          <w:rFonts w:asciiTheme="minorHAnsi" w:hAnsiTheme="minorHAnsi" w:cstheme="minorHAnsi"/>
          <w:b/>
          <w:sz w:val="24"/>
          <w:szCs w:val="24"/>
        </w:rPr>
        <w:t>É O RELATÓRIO.</w:t>
      </w:r>
    </w:p>
    <w:p w:rsidR="00E25786" w:rsidRPr="008C34E0" w:rsidRDefault="00E25786" w:rsidP="00E9416F">
      <w:pPr>
        <w:spacing w:after="0" w:line="240" w:lineRule="auto"/>
        <w:ind w:firstLine="851"/>
        <w:jc w:val="both"/>
        <w:rPr>
          <w:rFonts w:asciiTheme="minorHAnsi" w:hAnsiTheme="minorHAnsi" w:cstheme="minorHAnsi"/>
          <w:bCs/>
          <w:color w:val="FF0000"/>
          <w:sz w:val="24"/>
          <w:szCs w:val="24"/>
        </w:rPr>
      </w:pPr>
    </w:p>
    <w:p w:rsidR="0098367C" w:rsidRPr="008C34E0" w:rsidRDefault="00E25786" w:rsidP="00E941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Theme="minorHAnsi" w:hAnsiTheme="minorHAnsi" w:cstheme="minorHAnsi"/>
          <w:b/>
          <w:sz w:val="24"/>
          <w:szCs w:val="24"/>
        </w:rPr>
      </w:pPr>
      <w:r w:rsidRPr="008C34E0">
        <w:rPr>
          <w:rFonts w:asciiTheme="minorHAnsi" w:hAnsiTheme="minorHAnsi" w:cstheme="minorHAnsi"/>
          <w:b/>
          <w:sz w:val="24"/>
          <w:szCs w:val="24"/>
        </w:rPr>
        <w:t>3 – NO MÉRITO</w:t>
      </w:r>
    </w:p>
    <w:p w:rsidR="0098367C" w:rsidRPr="008C34E0" w:rsidRDefault="0098367C" w:rsidP="00E9416F">
      <w:pPr>
        <w:pStyle w:val="SemEspaamento"/>
        <w:jc w:val="both"/>
        <w:rPr>
          <w:rFonts w:asciiTheme="minorHAnsi" w:hAnsiTheme="minorHAnsi" w:cstheme="minorHAnsi"/>
          <w:sz w:val="24"/>
          <w:szCs w:val="24"/>
        </w:rPr>
      </w:pPr>
    </w:p>
    <w:p w:rsidR="00E25786" w:rsidRPr="008C34E0" w:rsidRDefault="0080251D" w:rsidP="00E25786">
      <w:pPr>
        <w:spacing w:after="0" w:line="360" w:lineRule="auto"/>
        <w:ind w:firstLine="709"/>
        <w:jc w:val="both"/>
        <w:rPr>
          <w:rFonts w:asciiTheme="minorHAnsi" w:hAnsiTheme="minorHAnsi" w:cstheme="minorHAnsi"/>
          <w:sz w:val="24"/>
          <w:szCs w:val="24"/>
        </w:rPr>
      </w:pPr>
      <w:r w:rsidRPr="008C34E0">
        <w:rPr>
          <w:rFonts w:asciiTheme="minorHAnsi" w:hAnsiTheme="minorHAnsi" w:cstheme="minorHAnsi"/>
          <w:sz w:val="24"/>
          <w:szCs w:val="24"/>
        </w:rPr>
        <w:t xml:space="preserve">3.1. - </w:t>
      </w:r>
      <w:r w:rsidR="00E25786" w:rsidRPr="008C34E0">
        <w:rPr>
          <w:rFonts w:asciiTheme="minorHAnsi" w:hAnsiTheme="minorHAnsi" w:cstheme="minorHAnsi"/>
          <w:sz w:val="24"/>
          <w:szCs w:val="24"/>
        </w:rPr>
        <w:t xml:space="preserve">De toda a explanação e detalhamento, contidos no </w:t>
      </w:r>
      <w:r w:rsidR="00E25786" w:rsidRPr="008C34E0">
        <w:rPr>
          <w:rFonts w:asciiTheme="minorHAnsi" w:hAnsiTheme="minorHAnsi" w:cstheme="minorHAnsi"/>
          <w:b/>
          <w:sz w:val="24"/>
          <w:szCs w:val="24"/>
        </w:rPr>
        <w:t>“Exame dos Autos”</w:t>
      </w:r>
      <w:r w:rsidR="00E25786" w:rsidRPr="008C34E0">
        <w:rPr>
          <w:rFonts w:asciiTheme="minorHAnsi" w:hAnsiTheme="minorHAnsi" w:cstheme="minorHAnsi"/>
          <w:sz w:val="24"/>
          <w:szCs w:val="24"/>
        </w:rPr>
        <w:t xml:space="preserve"> do presente parecer e considerando a urgência que circunstancia a con</w:t>
      </w:r>
      <w:r w:rsidR="00FA086A" w:rsidRPr="008C34E0">
        <w:rPr>
          <w:rFonts w:asciiTheme="minorHAnsi" w:hAnsiTheme="minorHAnsi" w:cstheme="minorHAnsi"/>
          <w:sz w:val="24"/>
          <w:szCs w:val="24"/>
        </w:rPr>
        <w:t>statação</w:t>
      </w:r>
      <w:r w:rsidR="00E25786" w:rsidRPr="008C34E0">
        <w:rPr>
          <w:rFonts w:asciiTheme="minorHAnsi" w:hAnsiTheme="minorHAnsi" w:cstheme="minorHAnsi"/>
          <w:sz w:val="24"/>
          <w:szCs w:val="24"/>
        </w:rPr>
        <w:t>, trazemos à baila as seguintes considerações, quais sejam:</w:t>
      </w:r>
    </w:p>
    <w:p w:rsidR="00E25786" w:rsidRPr="008C34E0" w:rsidRDefault="00E25786" w:rsidP="00E25786">
      <w:pPr>
        <w:pStyle w:val="PargrafodaLista"/>
        <w:numPr>
          <w:ilvl w:val="0"/>
          <w:numId w:val="7"/>
        </w:numPr>
        <w:suppressAutoHyphens/>
        <w:spacing w:before="0" w:after="0" w:line="360" w:lineRule="auto"/>
        <w:ind w:left="993"/>
        <w:rPr>
          <w:rFonts w:asciiTheme="minorHAnsi" w:hAnsiTheme="minorHAnsi" w:cstheme="minorHAnsi"/>
          <w:b/>
          <w:sz w:val="24"/>
          <w:szCs w:val="24"/>
          <w:u w:val="single"/>
        </w:rPr>
      </w:pPr>
      <w:r w:rsidRPr="008C34E0">
        <w:rPr>
          <w:rFonts w:asciiTheme="minorHAnsi" w:hAnsiTheme="minorHAnsi" w:cstheme="minorHAnsi"/>
          <w:b/>
          <w:sz w:val="24"/>
          <w:szCs w:val="24"/>
          <w:u w:val="single"/>
        </w:rPr>
        <w:t>DA DOTAÇÃO ORÇAMENTÁRIA</w:t>
      </w:r>
      <w:r w:rsidRPr="008C34E0">
        <w:rPr>
          <w:rFonts w:asciiTheme="minorHAnsi" w:hAnsiTheme="minorHAnsi" w:cstheme="minorHAnsi"/>
          <w:b/>
          <w:sz w:val="24"/>
          <w:szCs w:val="24"/>
        </w:rPr>
        <w:t xml:space="preserve"> – </w:t>
      </w:r>
      <w:r w:rsidRPr="008C34E0">
        <w:rPr>
          <w:rFonts w:asciiTheme="minorHAnsi" w:hAnsiTheme="minorHAnsi" w:cstheme="minorHAnsi"/>
          <w:sz w:val="24"/>
          <w:szCs w:val="24"/>
        </w:rPr>
        <w:t>Que seja informada a dotação orçamentária a ser utilizada para a despesa requerida.</w:t>
      </w:r>
    </w:p>
    <w:p w:rsidR="000C6EBB" w:rsidRPr="008C34E0" w:rsidRDefault="00E25786" w:rsidP="00E25786">
      <w:pPr>
        <w:pStyle w:val="PargrafodaLista"/>
        <w:numPr>
          <w:ilvl w:val="0"/>
          <w:numId w:val="7"/>
        </w:numPr>
        <w:suppressAutoHyphens/>
        <w:spacing w:before="0" w:after="0" w:line="360" w:lineRule="auto"/>
        <w:ind w:left="993"/>
        <w:rPr>
          <w:rFonts w:asciiTheme="minorHAnsi" w:hAnsiTheme="minorHAnsi" w:cstheme="minorHAnsi"/>
          <w:color w:val="FF0000"/>
          <w:sz w:val="24"/>
          <w:szCs w:val="24"/>
        </w:rPr>
      </w:pPr>
      <w:r w:rsidRPr="008C34E0">
        <w:rPr>
          <w:rFonts w:asciiTheme="minorHAnsi" w:hAnsiTheme="minorHAnsi" w:cstheme="minorHAnsi"/>
          <w:b/>
          <w:sz w:val="24"/>
          <w:szCs w:val="24"/>
          <w:u w:val="single"/>
        </w:rPr>
        <w:t>NOTA DE EMPENHO</w:t>
      </w:r>
      <w:r w:rsidRPr="008C34E0">
        <w:rPr>
          <w:rFonts w:asciiTheme="minorHAnsi" w:hAnsiTheme="minorHAnsi" w:cstheme="minorHAnsi"/>
          <w:sz w:val="24"/>
          <w:szCs w:val="24"/>
        </w:rPr>
        <w:t xml:space="preserve"> – Que o órgão realize a emissão da Nota de Empenho e liquidação no valor total de </w:t>
      </w:r>
      <w:r w:rsidR="000C6EBB" w:rsidRPr="008C34E0">
        <w:rPr>
          <w:rFonts w:asciiTheme="minorHAnsi" w:hAnsiTheme="minorHAnsi" w:cstheme="minorHAnsi"/>
          <w:sz w:val="24"/>
          <w:szCs w:val="24"/>
        </w:rPr>
        <w:t>R$3.244.751,20 (</w:t>
      </w:r>
      <w:proofErr w:type="gramStart"/>
      <w:r w:rsidR="000C6EBB" w:rsidRPr="008C34E0">
        <w:rPr>
          <w:rFonts w:asciiTheme="minorHAnsi" w:hAnsiTheme="minorHAnsi" w:cstheme="minorHAnsi"/>
          <w:sz w:val="24"/>
          <w:szCs w:val="24"/>
        </w:rPr>
        <w:t>três milhões, duzentos e quarenta e</w:t>
      </w:r>
      <w:proofErr w:type="gramEnd"/>
      <w:r w:rsidR="000C6EBB" w:rsidRPr="008C34E0">
        <w:rPr>
          <w:rFonts w:asciiTheme="minorHAnsi" w:hAnsiTheme="minorHAnsi" w:cstheme="minorHAnsi"/>
          <w:sz w:val="24"/>
          <w:szCs w:val="24"/>
        </w:rPr>
        <w:t xml:space="preserve"> quatro mil, setecentos e cinquenta e um reais e vinte centavos).</w:t>
      </w:r>
    </w:p>
    <w:p w:rsidR="008C34E0" w:rsidRPr="008C34E0" w:rsidRDefault="008C34E0" w:rsidP="008C34E0">
      <w:pPr>
        <w:pStyle w:val="PargrafodaLista"/>
        <w:numPr>
          <w:ilvl w:val="0"/>
          <w:numId w:val="7"/>
        </w:numPr>
        <w:suppressAutoHyphens/>
        <w:spacing w:before="0" w:after="0" w:line="360" w:lineRule="auto"/>
        <w:ind w:left="993"/>
        <w:rPr>
          <w:rFonts w:asciiTheme="minorHAnsi" w:hAnsiTheme="minorHAnsi" w:cstheme="minorHAnsi"/>
          <w:color w:val="FF0000"/>
          <w:sz w:val="24"/>
          <w:szCs w:val="24"/>
        </w:rPr>
      </w:pPr>
      <w:r w:rsidRPr="008C34E0">
        <w:rPr>
          <w:rFonts w:asciiTheme="minorHAnsi" w:hAnsiTheme="minorHAnsi" w:cstheme="minorHAnsi"/>
          <w:b/>
          <w:sz w:val="24"/>
          <w:szCs w:val="24"/>
          <w:u w:val="single"/>
        </w:rPr>
        <w:t>DA NOTA FISCAL</w:t>
      </w:r>
      <w:r w:rsidRPr="008C34E0">
        <w:rPr>
          <w:rFonts w:asciiTheme="minorHAnsi" w:hAnsiTheme="minorHAnsi" w:cstheme="minorHAnsi"/>
          <w:sz w:val="24"/>
          <w:szCs w:val="24"/>
        </w:rPr>
        <w:t xml:space="preserve"> – Que seja emitida a nota fiscal da prestação de serviços atestada pelo Gestor do órgão, visto que a despesa não tem cobertura contratual.</w:t>
      </w:r>
    </w:p>
    <w:p w:rsidR="00B250D8" w:rsidRPr="008C34E0" w:rsidRDefault="00B250D8" w:rsidP="00E25786">
      <w:pPr>
        <w:pStyle w:val="PargrafodaLista"/>
        <w:numPr>
          <w:ilvl w:val="0"/>
          <w:numId w:val="7"/>
        </w:numPr>
        <w:suppressAutoHyphens/>
        <w:spacing w:before="0" w:after="0" w:line="360" w:lineRule="auto"/>
        <w:ind w:left="993"/>
        <w:rPr>
          <w:rFonts w:asciiTheme="minorHAnsi" w:hAnsiTheme="minorHAnsi" w:cstheme="minorHAnsi"/>
          <w:color w:val="FF0000"/>
          <w:sz w:val="24"/>
          <w:szCs w:val="24"/>
        </w:rPr>
      </w:pPr>
      <w:r w:rsidRPr="008C34E0">
        <w:rPr>
          <w:rFonts w:asciiTheme="minorHAnsi" w:hAnsiTheme="minorHAnsi" w:cstheme="minorHAnsi"/>
          <w:b/>
          <w:sz w:val="24"/>
          <w:szCs w:val="24"/>
          <w:u w:val="single"/>
        </w:rPr>
        <w:t>DAS CERTIDÕES</w:t>
      </w:r>
      <w:r w:rsidRPr="008C34E0">
        <w:rPr>
          <w:rFonts w:asciiTheme="minorHAnsi" w:hAnsiTheme="minorHAnsi" w:cstheme="minorHAnsi"/>
          <w:b/>
          <w:sz w:val="24"/>
          <w:szCs w:val="24"/>
        </w:rPr>
        <w:t xml:space="preserve"> - </w:t>
      </w:r>
      <w:r w:rsidRPr="008C34E0">
        <w:rPr>
          <w:rFonts w:asciiTheme="minorHAnsi" w:hAnsiTheme="minorHAnsi" w:cstheme="minorHAnsi"/>
          <w:sz w:val="24"/>
          <w:szCs w:val="24"/>
        </w:rPr>
        <w:t>Quando da efetivação do pagamento o órgão deverá acostar aos autos as certidões de regularidade fiscal atualizadas, em atendimento a legislação pertinente.</w:t>
      </w:r>
    </w:p>
    <w:p w:rsidR="007839CA" w:rsidRPr="008C34E0" w:rsidRDefault="007839CA" w:rsidP="007839CA">
      <w:pPr>
        <w:suppressAutoHyphens/>
        <w:spacing w:after="0" w:line="360" w:lineRule="auto"/>
        <w:rPr>
          <w:rFonts w:asciiTheme="minorHAnsi" w:hAnsiTheme="minorHAnsi" w:cstheme="minorHAnsi"/>
          <w:color w:val="FF0000"/>
          <w:sz w:val="24"/>
          <w:szCs w:val="24"/>
        </w:rPr>
      </w:pPr>
    </w:p>
    <w:p w:rsidR="0098367C" w:rsidRPr="008C34E0" w:rsidRDefault="00E25786" w:rsidP="00E9416F">
      <w:pPr>
        <w:pStyle w:val="SemEspaamento"/>
        <w:pBdr>
          <w:top w:val="single" w:sz="4" w:space="1" w:color="auto"/>
          <w:left w:val="single" w:sz="4" w:space="4" w:color="auto"/>
          <w:bottom w:val="single" w:sz="4" w:space="1" w:color="auto"/>
          <w:right w:val="single" w:sz="4" w:space="4" w:color="auto"/>
        </w:pBdr>
        <w:shd w:val="clear" w:color="auto" w:fill="BFBFBF"/>
        <w:jc w:val="both"/>
        <w:rPr>
          <w:rFonts w:asciiTheme="minorHAnsi" w:hAnsiTheme="minorHAnsi" w:cstheme="minorHAnsi"/>
          <w:b/>
          <w:sz w:val="24"/>
          <w:szCs w:val="24"/>
        </w:rPr>
      </w:pPr>
      <w:r w:rsidRPr="008C34E0">
        <w:rPr>
          <w:rFonts w:asciiTheme="minorHAnsi" w:hAnsiTheme="minorHAnsi" w:cstheme="minorHAnsi"/>
          <w:b/>
          <w:sz w:val="24"/>
          <w:szCs w:val="24"/>
        </w:rPr>
        <w:t>4</w:t>
      </w:r>
      <w:r w:rsidR="0098367C" w:rsidRPr="008C34E0">
        <w:rPr>
          <w:rFonts w:asciiTheme="minorHAnsi" w:hAnsiTheme="minorHAnsi" w:cstheme="minorHAnsi"/>
          <w:b/>
          <w:sz w:val="24"/>
          <w:szCs w:val="24"/>
        </w:rPr>
        <w:t xml:space="preserve"> - CONCLUSÃO</w:t>
      </w:r>
    </w:p>
    <w:p w:rsidR="003340CB" w:rsidRPr="008C34E0" w:rsidRDefault="003340CB" w:rsidP="00E9416F">
      <w:pPr>
        <w:pStyle w:val="SemEspaamento"/>
        <w:spacing w:line="360" w:lineRule="auto"/>
        <w:jc w:val="both"/>
        <w:rPr>
          <w:rFonts w:asciiTheme="minorHAnsi" w:hAnsiTheme="minorHAnsi" w:cstheme="minorHAnsi"/>
          <w:sz w:val="24"/>
          <w:szCs w:val="24"/>
        </w:rPr>
      </w:pPr>
    </w:p>
    <w:p w:rsidR="003D0B72" w:rsidRPr="008C34E0" w:rsidRDefault="00E25786" w:rsidP="00F8136E">
      <w:pPr>
        <w:tabs>
          <w:tab w:val="left" w:pos="3402"/>
        </w:tabs>
        <w:spacing w:after="0" w:line="360" w:lineRule="auto"/>
        <w:ind w:firstLine="851"/>
        <w:jc w:val="both"/>
        <w:rPr>
          <w:rFonts w:asciiTheme="minorHAnsi" w:hAnsiTheme="minorHAnsi" w:cstheme="minorHAnsi"/>
          <w:sz w:val="24"/>
          <w:szCs w:val="24"/>
        </w:rPr>
      </w:pPr>
      <w:r w:rsidRPr="008C34E0">
        <w:rPr>
          <w:rFonts w:asciiTheme="minorHAnsi" w:hAnsiTheme="minorHAnsi" w:cstheme="minorHAnsi"/>
          <w:sz w:val="24"/>
          <w:szCs w:val="24"/>
        </w:rPr>
        <w:t>Encaminhem-se os autos ao gabinete da Controladora Geral, para conhecimento da análise apresentada e providências da</w:t>
      </w:r>
      <w:r w:rsidR="008C34E0" w:rsidRPr="008C34E0">
        <w:rPr>
          <w:rFonts w:asciiTheme="minorHAnsi" w:hAnsiTheme="minorHAnsi" w:cstheme="minorHAnsi"/>
          <w:sz w:val="24"/>
          <w:szCs w:val="24"/>
        </w:rPr>
        <w:t>s</w:t>
      </w:r>
      <w:r w:rsidRPr="008C34E0">
        <w:rPr>
          <w:rFonts w:asciiTheme="minorHAnsi" w:hAnsiTheme="minorHAnsi" w:cstheme="minorHAnsi"/>
          <w:sz w:val="24"/>
          <w:szCs w:val="24"/>
        </w:rPr>
        <w:t xml:space="preserve"> pendência</w:t>
      </w:r>
      <w:r w:rsidR="008C34E0" w:rsidRPr="008C34E0">
        <w:rPr>
          <w:rFonts w:asciiTheme="minorHAnsi" w:hAnsiTheme="minorHAnsi" w:cstheme="minorHAnsi"/>
          <w:sz w:val="24"/>
          <w:szCs w:val="24"/>
        </w:rPr>
        <w:t>s</w:t>
      </w:r>
      <w:r w:rsidRPr="008C34E0">
        <w:rPr>
          <w:rFonts w:asciiTheme="minorHAnsi" w:hAnsiTheme="minorHAnsi" w:cstheme="minorHAnsi"/>
          <w:sz w:val="24"/>
          <w:szCs w:val="24"/>
        </w:rPr>
        <w:t xml:space="preserve"> processua</w:t>
      </w:r>
      <w:r w:rsidR="008C34E0" w:rsidRPr="008C34E0">
        <w:rPr>
          <w:rFonts w:asciiTheme="minorHAnsi" w:hAnsiTheme="minorHAnsi" w:cstheme="minorHAnsi"/>
          <w:sz w:val="24"/>
          <w:szCs w:val="24"/>
        </w:rPr>
        <w:t>is</w:t>
      </w:r>
      <w:r w:rsidRPr="008C34E0">
        <w:rPr>
          <w:rFonts w:asciiTheme="minorHAnsi" w:hAnsiTheme="minorHAnsi" w:cstheme="minorHAnsi"/>
          <w:sz w:val="24"/>
          <w:szCs w:val="24"/>
        </w:rPr>
        <w:t xml:space="preserve"> apontada</w:t>
      </w:r>
      <w:r w:rsidR="008C34E0" w:rsidRPr="008C34E0">
        <w:rPr>
          <w:rFonts w:asciiTheme="minorHAnsi" w:hAnsiTheme="minorHAnsi" w:cstheme="minorHAnsi"/>
          <w:sz w:val="24"/>
          <w:szCs w:val="24"/>
        </w:rPr>
        <w:t>s</w:t>
      </w:r>
      <w:r w:rsidRPr="008C34E0">
        <w:rPr>
          <w:rFonts w:asciiTheme="minorHAnsi" w:hAnsiTheme="minorHAnsi" w:cstheme="minorHAnsi"/>
          <w:sz w:val="24"/>
          <w:szCs w:val="24"/>
        </w:rPr>
        <w:t xml:space="preserve"> no subitem 3.1, ite</w:t>
      </w:r>
      <w:r w:rsidR="008C34E0" w:rsidRPr="008C34E0">
        <w:rPr>
          <w:rFonts w:asciiTheme="minorHAnsi" w:hAnsiTheme="minorHAnsi" w:cstheme="minorHAnsi"/>
          <w:sz w:val="24"/>
          <w:szCs w:val="24"/>
        </w:rPr>
        <w:t>ns</w:t>
      </w:r>
      <w:r w:rsidRPr="008C34E0">
        <w:rPr>
          <w:rFonts w:asciiTheme="minorHAnsi" w:hAnsiTheme="minorHAnsi" w:cstheme="minorHAnsi"/>
          <w:sz w:val="24"/>
          <w:szCs w:val="24"/>
        </w:rPr>
        <w:t xml:space="preserve"> </w:t>
      </w:r>
      <w:r w:rsidRPr="008C34E0">
        <w:rPr>
          <w:rFonts w:asciiTheme="minorHAnsi" w:hAnsiTheme="minorHAnsi" w:cstheme="minorHAnsi"/>
          <w:b/>
          <w:sz w:val="24"/>
          <w:szCs w:val="24"/>
        </w:rPr>
        <w:t xml:space="preserve">“a” </w:t>
      </w:r>
      <w:r w:rsidR="00B250D8" w:rsidRPr="008C34E0">
        <w:rPr>
          <w:rFonts w:asciiTheme="minorHAnsi" w:hAnsiTheme="minorHAnsi" w:cstheme="minorHAnsi"/>
          <w:b/>
          <w:sz w:val="24"/>
          <w:szCs w:val="24"/>
        </w:rPr>
        <w:t>a</w:t>
      </w:r>
      <w:r w:rsidRPr="008C34E0">
        <w:rPr>
          <w:rFonts w:asciiTheme="minorHAnsi" w:hAnsiTheme="minorHAnsi" w:cstheme="minorHAnsi"/>
          <w:b/>
          <w:sz w:val="24"/>
          <w:szCs w:val="24"/>
        </w:rPr>
        <w:t xml:space="preserve"> “</w:t>
      </w:r>
      <w:r w:rsidR="00B250D8" w:rsidRPr="008C34E0">
        <w:rPr>
          <w:rFonts w:asciiTheme="minorHAnsi" w:hAnsiTheme="minorHAnsi" w:cstheme="minorHAnsi"/>
          <w:b/>
          <w:sz w:val="24"/>
          <w:szCs w:val="24"/>
        </w:rPr>
        <w:t>d”</w:t>
      </w:r>
      <w:r w:rsidR="008C34E0" w:rsidRPr="008C34E0">
        <w:rPr>
          <w:rFonts w:asciiTheme="minorHAnsi" w:hAnsiTheme="minorHAnsi" w:cstheme="minorHAnsi"/>
          <w:b/>
          <w:sz w:val="24"/>
          <w:szCs w:val="24"/>
        </w:rPr>
        <w:t>,</w:t>
      </w:r>
      <w:r w:rsidRPr="008C34E0">
        <w:rPr>
          <w:rFonts w:asciiTheme="minorHAnsi" w:hAnsiTheme="minorHAnsi" w:cstheme="minorHAnsi"/>
          <w:sz w:val="24"/>
          <w:szCs w:val="24"/>
        </w:rPr>
        <w:t xml:space="preserve"> </w:t>
      </w:r>
      <w:r w:rsidR="008C34E0" w:rsidRPr="008C34E0">
        <w:rPr>
          <w:rFonts w:asciiTheme="minorHAnsi" w:hAnsiTheme="minorHAnsi" w:cstheme="minorHAnsi"/>
          <w:sz w:val="24"/>
          <w:szCs w:val="24"/>
        </w:rPr>
        <w:t xml:space="preserve">e, </w:t>
      </w:r>
      <w:r w:rsidRPr="008C34E0">
        <w:rPr>
          <w:rFonts w:asciiTheme="minorHAnsi" w:hAnsiTheme="minorHAnsi" w:cstheme="minorHAnsi"/>
          <w:sz w:val="24"/>
          <w:szCs w:val="24"/>
        </w:rPr>
        <w:t xml:space="preserve">ato contínuo, que seja realizado o pagamento a Empresa </w:t>
      </w:r>
      <w:r w:rsidR="00F8136E" w:rsidRPr="008C34E0">
        <w:rPr>
          <w:rFonts w:asciiTheme="minorHAnsi" w:hAnsiTheme="minorHAnsi" w:cstheme="minorHAnsi"/>
          <w:b/>
          <w:sz w:val="24"/>
          <w:szCs w:val="24"/>
        </w:rPr>
        <w:t xml:space="preserve">CPM BRAXIS S/A, </w:t>
      </w:r>
      <w:r w:rsidR="00F8136E" w:rsidRPr="008C34E0">
        <w:rPr>
          <w:rFonts w:asciiTheme="minorHAnsi" w:hAnsiTheme="minorHAnsi" w:cstheme="minorHAnsi"/>
          <w:sz w:val="24"/>
          <w:szCs w:val="24"/>
        </w:rPr>
        <w:t xml:space="preserve">no </w:t>
      </w:r>
      <w:r w:rsidR="00F8136E" w:rsidRPr="008C34E0">
        <w:rPr>
          <w:rFonts w:asciiTheme="minorHAnsi" w:hAnsiTheme="minorHAnsi" w:cstheme="minorHAnsi"/>
          <w:sz w:val="24"/>
          <w:szCs w:val="24"/>
        </w:rPr>
        <w:lastRenderedPageBreak/>
        <w:t>valor de R$3.244.751,20 (</w:t>
      </w:r>
      <w:proofErr w:type="gramStart"/>
      <w:r w:rsidR="00F8136E" w:rsidRPr="008C34E0">
        <w:rPr>
          <w:rFonts w:asciiTheme="minorHAnsi" w:hAnsiTheme="minorHAnsi" w:cstheme="minorHAnsi"/>
          <w:sz w:val="24"/>
          <w:szCs w:val="24"/>
        </w:rPr>
        <w:t>três milhões, duzentos e quarenta e</w:t>
      </w:r>
      <w:proofErr w:type="gramEnd"/>
      <w:r w:rsidR="00F8136E" w:rsidRPr="008C34E0">
        <w:rPr>
          <w:rFonts w:asciiTheme="minorHAnsi" w:hAnsiTheme="minorHAnsi" w:cstheme="minorHAnsi"/>
          <w:sz w:val="24"/>
          <w:szCs w:val="24"/>
        </w:rPr>
        <w:t xml:space="preserve"> quatro mil, setecentos e cinquenta e um reais e vinte centavos).</w:t>
      </w:r>
    </w:p>
    <w:p w:rsidR="007839CA" w:rsidRPr="008C34E0" w:rsidRDefault="007839CA" w:rsidP="00E9416F">
      <w:pPr>
        <w:spacing w:after="0" w:line="360" w:lineRule="auto"/>
        <w:jc w:val="center"/>
        <w:rPr>
          <w:rFonts w:asciiTheme="minorHAnsi" w:hAnsiTheme="minorHAnsi" w:cstheme="minorHAnsi"/>
          <w:bCs/>
          <w:sz w:val="24"/>
          <w:szCs w:val="24"/>
        </w:rPr>
      </w:pPr>
    </w:p>
    <w:p w:rsidR="00783480" w:rsidRDefault="004E34F3" w:rsidP="00E9416F">
      <w:pPr>
        <w:spacing w:after="0" w:line="360" w:lineRule="auto"/>
        <w:jc w:val="center"/>
        <w:rPr>
          <w:rFonts w:asciiTheme="minorHAnsi" w:hAnsiTheme="minorHAnsi" w:cstheme="minorHAnsi"/>
          <w:bCs/>
          <w:sz w:val="24"/>
          <w:szCs w:val="24"/>
        </w:rPr>
      </w:pPr>
      <w:r w:rsidRPr="008C34E0">
        <w:rPr>
          <w:rFonts w:asciiTheme="minorHAnsi" w:hAnsiTheme="minorHAnsi" w:cstheme="minorHAnsi"/>
          <w:bCs/>
          <w:sz w:val="24"/>
          <w:szCs w:val="24"/>
        </w:rPr>
        <w:t xml:space="preserve">Maceió, </w:t>
      </w:r>
      <w:r w:rsidR="00F8136E" w:rsidRPr="008C34E0">
        <w:rPr>
          <w:rFonts w:asciiTheme="minorHAnsi" w:hAnsiTheme="minorHAnsi" w:cstheme="minorHAnsi"/>
          <w:bCs/>
          <w:sz w:val="24"/>
          <w:szCs w:val="24"/>
        </w:rPr>
        <w:t>01</w:t>
      </w:r>
      <w:r w:rsidR="0024603C" w:rsidRPr="008C34E0">
        <w:rPr>
          <w:rFonts w:asciiTheme="minorHAnsi" w:hAnsiTheme="minorHAnsi" w:cstheme="minorHAnsi"/>
          <w:bCs/>
          <w:sz w:val="24"/>
          <w:szCs w:val="24"/>
        </w:rPr>
        <w:t xml:space="preserve"> </w:t>
      </w:r>
      <w:r w:rsidR="00DE4762" w:rsidRPr="008C34E0">
        <w:rPr>
          <w:rFonts w:asciiTheme="minorHAnsi" w:hAnsiTheme="minorHAnsi" w:cstheme="minorHAnsi"/>
          <w:bCs/>
          <w:sz w:val="24"/>
          <w:szCs w:val="24"/>
        </w:rPr>
        <w:t xml:space="preserve">de </w:t>
      </w:r>
      <w:r w:rsidR="00F8136E" w:rsidRPr="008C34E0">
        <w:rPr>
          <w:rFonts w:asciiTheme="minorHAnsi" w:hAnsiTheme="minorHAnsi" w:cstheme="minorHAnsi"/>
          <w:bCs/>
          <w:sz w:val="24"/>
          <w:szCs w:val="24"/>
        </w:rPr>
        <w:t>junho</w:t>
      </w:r>
      <w:r w:rsidR="008030CA" w:rsidRPr="008C34E0">
        <w:rPr>
          <w:rFonts w:asciiTheme="minorHAnsi" w:hAnsiTheme="minorHAnsi" w:cstheme="minorHAnsi"/>
          <w:bCs/>
          <w:sz w:val="24"/>
          <w:szCs w:val="24"/>
        </w:rPr>
        <w:t xml:space="preserve"> de 2017</w:t>
      </w:r>
      <w:r w:rsidR="00783480" w:rsidRPr="008C34E0">
        <w:rPr>
          <w:rFonts w:asciiTheme="minorHAnsi" w:hAnsiTheme="minorHAnsi" w:cstheme="minorHAnsi"/>
          <w:bCs/>
          <w:sz w:val="24"/>
          <w:szCs w:val="24"/>
        </w:rPr>
        <w:t>.</w:t>
      </w:r>
    </w:p>
    <w:p w:rsidR="00E1725F" w:rsidRPr="008C34E0" w:rsidRDefault="00E1725F" w:rsidP="00E9416F">
      <w:pPr>
        <w:spacing w:after="0" w:line="360" w:lineRule="auto"/>
        <w:jc w:val="center"/>
        <w:rPr>
          <w:rFonts w:asciiTheme="minorHAnsi" w:hAnsiTheme="minorHAnsi" w:cstheme="minorHAnsi"/>
          <w:bCs/>
          <w:sz w:val="24"/>
          <w:szCs w:val="24"/>
        </w:rPr>
      </w:pPr>
    </w:p>
    <w:p w:rsidR="00414008" w:rsidRPr="008C34E0" w:rsidRDefault="00414008" w:rsidP="00E9416F">
      <w:pPr>
        <w:spacing w:after="0" w:line="240" w:lineRule="auto"/>
        <w:jc w:val="center"/>
        <w:rPr>
          <w:rFonts w:asciiTheme="minorHAnsi" w:hAnsiTheme="minorHAnsi" w:cstheme="minorHAnsi"/>
          <w:b/>
          <w:bCs/>
          <w:sz w:val="24"/>
          <w:szCs w:val="24"/>
        </w:rPr>
      </w:pPr>
    </w:p>
    <w:p w:rsidR="008C34E0" w:rsidRPr="008C34E0" w:rsidRDefault="008C34E0" w:rsidP="00E9416F">
      <w:pPr>
        <w:spacing w:after="0" w:line="240" w:lineRule="auto"/>
        <w:jc w:val="center"/>
        <w:rPr>
          <w:rFonts w:asciiTheme="minorHAnsi" w:hAnsiTheme="minorHAnsi" w:cstheme="minorHAnsi"/>
          <w:b/>
          <w:bCs/>
          <w:sz w:val="24"/>
          <w:szCs w:val="24"/>
        </w:rPr>
      </w:pPr>
    </w:p>
    <w:tbl>
      <w:tblPr>
        <w:tblStyle w:val="Tabelacomgrade"/>
        <w:tblW w:w="0" w:type="auto"/>
        <w:tblLook w:val="04A0"/>
      </w:tblPr>
      <w:tblGrid>
        <w:gridCol w:w="4747"/>
        <w:gridCol w:w="4747"/>
      </w:tblGrid>
      <w:tr w:rsidR="008C34E0" w:rsidRPr="008C34E0" w:rsidTr="008C34E0">
        <w:tc>
          <w:tcPr>
            <w:tcW w:w="4747" w:type="dxa"/>
            <w:tcBorders>
              <w:top w:val="nil"/>
              <w:left w:val="nil"/>
              <w:bottom w:val="nil"/>
              <w:right w:val="nil"/>
            </w:tcBorders>
          </w:tcPr>
          <w:p w:rsidR="008C34E0" w:rsidRPr="008C34E0" w:rsidRDefault="008C34E0" w:rsidP="008C34E0">
            <w:pPr>
              <w:spacing w:after="0" w:line="240" w:lineRule="auto"/>
              <w:jc w:val="center"/>
              <w:rPr>
                <w:rFonts w:asciiTheme="minorHAnsi" w:hAnsiTheme="minorHAnsi" w:cstheme="minorHAnsi"/>
                <w:b/>
                <w:bCs/>
                <w:sz w:val="24"/>
                <w:szCs w:val="24"/>
              </w:rPr>
            </w:pPr>
            <w:r w:rsidRPr="008C34E0">
              <w:rPr>
                <w:rFonts w:asciiTheme="minorHAnsi" w:hAnsiTheme="minorHAnsi" w:cstheme="minorHAnsi"/>
                <w:b/>
                <w:bCs/>
                <w:sz w:val="24"/>
                <w:szCs w:val="24"/>
              </w:rPr>
              <w:t>Flávio André Cavalcanti Silva</w:t>
            </w:r>
          </w:p>
          <w:p w:rsidR="008C34E0" w:rsidRPr="008C34E0" w:rsidRDefault="008C34E0" w:rsidP="008C34E0">
            <w:pPr>
              <w:spacing w:after="0" w:line="240" w:lineRule="auto"/>
              <w:jc w:val="center"/>
              <w:rPr>
                <w:rFonts w:asciiTheme="minorHAnsi" w:hAnsiTheme="minorHAnsi" w:cstheme="minorHAnsi"/>
                <w:b/>
                <w:bCs/>
                <w:sz w:val="24"/>
                <w:szCs w:val="24"/>
              </w:rPr>
            </w:pPr>
            <w:r w:rsidRPr="008C34E0">
              <w:rPr>
                <w:rFonts w:asciiTheme="minorHAnsi" w:hAnsiTheme="minorHAnsi" w:cstheme="minorHAnsi"/>
                <w:bCs/>
                <w:sz w:val="24"/>
                <w:szCs w:val="24"/>
              </w:rPr>
              <w:t>Assessor de Controle Interno - Matrícula n° 109-0</w:t>
            </w:r>
          </w:p>
        </w:tc>
        <w:tc>
          <w:tcPr>
            <w:tcW w:w="4747" w:type="dxa"/>
            <w:tcBorders>
              <w:top w:val="nil"/>
              <w:left w:val="nil"/>
              <w:bottom w:val="nil"/>
              <w:right w:val="nil"/>
            </w:tcBorders>
          </w:tcPr>
          <w:p w:rsidR="008C34E0" w:rsidRPr="008C34E0" w:rsidRDefault="008C34E0" w:rsidP="008C34E0">
            <w:pPr>
              <w:spacing w:after="0" w:line="240" w:lineRule="auto"/>
              <w:jc w:val="center"/>
              <w:rPr>
                <w:rFonts w:asciiTheme="minorHAnsi" w:hAnsiTheme="minorHAnsi" w:cstheme="minorHAnsi"/>
                <w:b/>
                <w:bCs/>
                <w:sz w:val="24"/>
                <w:szCs w:val="24"/>
              </w:rPr>
            </w:pPr>
            <w:r w:rsidRPr="008C34E0">
              <w:rPr>
                <w:rFonts w:asciiTheme="minorHAnsi" w:hAnsiTheme="minorHAnsi" w:cstheme="minorHAnsi"/>
                <w:b/>
                <w:bCs/>
                <w:sz w:val="24"/>
                <w:szCs w:val="24"/>
              </w:rPr>
              <w:t>Fabiana Cristina Mendonça de Freitas</w:t>
            </w:r>
          </w:p>
          <w:p w:rsidR="008C34E0" w:rsidRPr="008C34E0" w:rsidRDefault="008C34E0" w:rsidP="008C34E0">
            <w:pPr>
              <w:spacing w:after="0" w:line="240" w:lineRule="auto"/>
              <w:jc w:val="center"/>
              <w:rPr>
                <w:rFonts w:asciiTheme="minorHAnsi" w:hAnsiTheme="minorHAnsi" w:cstheme="minorHAnsi"/>
                <w:bCs/>
                <w:sz w:val="24"/>
                <w:szCs w:val="24"/>
              </w:rPr>
            </w:pPr>
            <w:r w:rsidRPr="008C34E0">
              <w:rPr>
                <w:rFonts w:asciiTheme="minorHAnsi" w:hAnsiTheme="minorHAnsi" w:cstheme="minorHAnsi"/>
                <w:bCs/>
                <w:sz w:val="24"/>
                <w:szCs w:val="24"/>
              </w:rPr>
              <w:t>Assessora de Controle Interno - Matrícula n° 108-2</w:t>
            </w:r>
          </w:p>
          <w:p w:rsidR="008C34E0" w:rsidRPr="008C34E0" w:rsidRDefault="008C34E0" w:rsidP="00E9416F">
            <w:pPr>
              <w:spacing w:after="0" w:line="240" w:lineRule="auto"/>
              <w:jc w:val="center"/>
              <w:rPr>
                <w:rFonts w:asciiTheme="minorHAnsi" w:hAnsiTheme="minorHAnsi" w:cstheme="minorHAnsi"/>
                <w:b/>
                <w:bCs/>
                <w:sz w:val="24"/>
                <w:szCs w:val="24"/>
              </w:rPr>
            </w:pPr>
          </w:p>
        </w:tc>
      </w:tr>
      <w:tr w:rsidR="008C34E0" w:rsidRPr="008C34E0" w:rsidTr="008C34E0">
        <w:tc>
          <w:tcPr>
            <w:tcW w:w="4747" w:type="dxa"/>
            <w:tcBorders>
              <w:top w:val="nil"/>
              <w:left w:val="nil"/>
              <w:bottom w:val="nil"/>
              <w:right w:val="nil"/>
            </w:tcBorders>
          </w:tcPr>
          <w:p w:rsidR="008C34E0" w:rsidRPr="008C34E0" w:rsidRDefault="008C34E0" w:rsidP="00E9416F">
            <w:pPr>
              <w:spacing w:after="0" w:line="240" w:lineRule="auto"/>
              <w:jc w:val="center"/>
              <w:rPr>
                <w:rFonts w:asciiTheme="minorHAnsi" w:hAnsiTheme="minorHAnsi" w:cstheme="minorHAnsi"/>
                <w:b/>
                <w:bCs/>
                <w:sz w:val="24"/>
                <w:szCs w:val="24"/>
              </w:rPr>
            </w:pPr>
          </w:p>
        </w:tc>
        <w:tc>
          <w:tcPr>
            <w:tcW w:w="4747" w:type="dxa"/>
            <w:tcBorders>
              <w:top w:val="nil"/>
              <w:left w:val="nil"/>
              <w:bottom w:val="nil"/>
              <w:right w:val="nil"/>
            </w:tcBorders>
          </w:tcPr>
          <w:p w:rsidR="008C34E0" w:rsidRPr="008C34E0" w:rsidRDefault="008C34E0" w:rsidP="00E9416F">
            <w:pPr>
              <w:spacing w:after="0" w:line="240" w:lineRule="auto"/>
              <w:jc w:val="center"/>
              <w:rPr>
                <w:rFonts w:asciiTheme="minorHAnsi" w:hAnsiTheme="minorHAnsi" w:cstheme="minorHAnsi"/>
                <w:b/>
                <w:bCs/>
                <w:sz w:val="24"/>
                <w:szCs w:val="24"/>
              </w:rPr>
            </w:pPr>
          </w:p>
        </w:tc>
      </w:tr>
      <w:tr w:rsidR="008C34E0" w:rsidRPr="008C34E0" w:rsidTr="008C34E0">
        <w:tc>
          <w:tcPr>
            <w:tcW w:w="9494" w:type="dxa"/>
            <w:gridSpan w:val="2"/>
            <w:tcBorders>
              <w:top w:val="nil"/>
              <w:left w:val="nil"/>
              <w:bottom w:val="nil"/>
              <w:right w:val="nil"/>
            </w:tcBorders>
          </w:tcPr>
          <w:p w:rsidR="008C34E0" w:rsidRPr="008C34E0" w:rsidRDefault="008C34E0" w:rsidP="008C34E0">
            <w:pPr>
              <w:spacing w:after="0" w:line="240" w:lineRule="auto"/>
              <w:jc w:val="center"/>
              <w:rPr>
                <w:rFonts w:asciiTheme="minorHAnsi" w:hAnsiTheme="minorHAnsi" w:cstheme="minorHAnsi"/>
                <w:b/>
                <w:bCs/>
                <w:sz w:val="24"/>
                <w:szCs w:val="24"/>
              </w:rPr>
            </w:pPr>
          </w:p>
          <w:p w:rsidR="008C34E0" w:rsidRPr="008C34E0" w:rsidRDefault="008C34E0" w:rsidP="008C34E0">
            <w:pPr>
              <w:spacing w:after="0" w:line="240" w:lineRule="auto"/>
              <w:jc w:val="center"/>
              <w:rPr>
                <w:rFonts w:asciiTheme="minorHAnsi" w:hAnsiTheme="minorHAnsi" w:cstheme="minorHAnsi"/>
                <w:b/>
                <w:bCs/>
                <w:sz w:val="24"/>
                <w:szCs w:val="24"/>
              </w:rPr>
            </w:pPr>
            <w:r w:rsidRPr="008C34E0">
              <w:rPr>
                <w:rFonts w:asciiTheme="minorHAnsi" w:hAnsiTheme="minorHAnsi" w:cstheme="minorHAnsi"/>
                <w:b/>
                <w:bCs/>
                <w:sz w:val="24"/>
                <w:szCs w:val="24"/>
              </w:rPr>
              <w:t>Hertz Rodrigues Lima</w:t>
            </w:r>
          </w:p>
          <w:p w:rsidR="008C34E0" w:rsidRPr="008C34E0" w:rsidRDefault="008C34E0" w:rsidP="008C34E0">
            <w:pPr>
              <w:spacing w:after="0" w:line="240" w:lineRule="auto"/>
              <w:jc w:val="center"/>
              <w:rPr>
                <w:rFonts w:asciiTheme="minorHAnsi" w:hAnsiTheme="minorHAnsi" w:cstheme="minorHAnsi"/>
                <w:b/>
                <w:bCs/>
                <w:sz w:val="24"/>
                <w:szCs w:val="24"/>
              </w:rPr>
            </w:pPr>
            <w:r w:rsidRPr="008C34E0">
              <w:rPr>
                <w:rFonts w:asciiTheme="minorHAnsi" w:hAnsiTheme="minorHAnsi" w:cstheme="minorHAnsi"/>
                <w:bCs/>
                <w:sz w:val="24"/>
                <w:szCs w:val="24"/>
              </w:rPr>
              <w:t>Assessor de Controle Interno - Matrícula n° 29872-9</w:t>
            </w:r>
          </w:p>
        </w:tc>
      </w:tr>
    </w:tbl>
    <w:p w:rsidR="00931140" w:rsidRPr="008C34E0" w:rsidRDefault="00931140" w:rsidP="00E9416F">
      <w:pPr>
        <w:spacing w:after="0" w:line="240" w:lineRule="auto"/>
        <w:jc w:val="center"/>
        <w:rPr>
          <w:rFonts w:asciiTheme="minorHAnsi" w:hAnsiTheme="minorHAnsi" w:cstheme="minorHAnsi"/>
          <w:b/>
          <w:bCs/>
          <w:sz w:val="24"/>
          <w:szCs w:val="24"/>
        </w:rPr>
      </w:pPr>
    </w:p>
    <w:p w:rsidR="008C34E0" w:rsidRPr="008C34E0" w:rsidRDefault="008C34E0" w:rsidP="00E9416F">
      <w:pPr>
        <w:spacing w:after="0" w:line="240" w:lineRule="auto"/>
        <w:jc w:val="center"/>
        <w:rPr>
          <w:rFonts w:asciiTheme="minorHAnsi" w:hAnsiTheme="minorHAnsi" w:cstheme="minorHAnsi"/>
          <w:b/>
          <w:bCs/>
          <w:sz w:val="24"/>
          <w:szCs w:val="24"/>
        </w:rPr>
      </w:pPr>
    </w:p>
    <w:p w:rsidR="00F8136E" w:rsidRPr="008C34E0" w:rsidRDefault="00F8136E" w:rsidP="00F8136E">
      <w:pPr>
        <w:spacing w:after="0" w:line="240" w:lineRule="auto"/>
        <w:jc w:val="center"/>
        <w:rPr>
          <w:rFonts w:asciiTheme="minorHAnsi" w:hAnsiTheme="minorHAnsi" w:cstheme="minorHAnsi"/>
          <w:bCs/>
          <w:sz w:val="24"/>
          <w:szCs w:val="24"/>
        </w:rPr>
      </w:pPr>
    </w:p>
    <w:p w:rsidR="00783480" w:rsidRPr="008C34E0" w:rsidRDefault="00783480" w:rsidP="00E9416F">
      <w:pPr>
        <w:tabs>
          <w:tab w:val="left" w:pos="283"/>
        </w:tabs>
        <w:spacing w:after="0" w:line="360" w:lineRule="auto"/>
        <w:rPr>
          <w:rFonts w:asciiTheme="minorHAnsi" w:hAnsiTheme="minorHAnsi" w:cstheme="minorHAnsi"/>
          <w:sz w:val="24"/>
          <w:szCs w:val="24"/>
        </w:rPr>
      </w:pPr>
      <w:r w:rsidRPr="008C34E0">
        <w:rPr>
          <w:rFonts w:asciiTheme="minorHAnsi" w:hAnsiTheme="minorHAnsi" w:cstheme="minorHAnsi"/>
          <w:sz w:val="24"/>
          <w:szCs w:val="24"/>
        </w:rPr>
        <w:t>De acordo:</w:t>
      </w:r>
    </w:p>
    <w:p w:rsidR="00783480" w:rsidRPr="008C34E0" w:rsidRDefault="00783480" w:rsidP="00E9416F">
      <w:pPr>
        <w:tabs>
          <w:tab w:val="left" w:pos="0"/>
        </w:tabs>
        <w:spacing w:after="0" w:line="240" w:lineRule="auto"/>
        <w:jc w:val="center"/>
        <w:rPr>
          <w:rFonts w:asciiTheme="minorHAnsi" w:hAnsiTheme="minorHAnsi" w:cstheme="minorHAnsi"/>
          <w:b/>
          <w:sz w:val="24"/>
          <w:szCs w:val="24"/>
        </w:rPr>
      </w:pPr>
      <w:r w:rsidRPr="008C34E0">
        <w:rPr>
          <w:rFonts w:asciiTheme="minorHAnsi" w:hAnsiTheme="minorHAnsi" w:cstheme="minorHAnsi"/>
          <w:b/>
          <w:sz w:val="24"/>
          <w:szCs w:val="24"/>
        </w:rPr>
        <w:t xml:space="preserve">Adriana Andrade Araújo </w:t>
      </w:r>
    </w:p>
    <w:p w:rsidR="00783480" w:rsidRPr="008C34E0" w:rsidRDefault="00783480" w:rsidP="00E9416F">
      <w:pPr>
        <w:tabs>
          <w:tab w:val="left" w:pos="0"/>
        </w:tabs>
        <w:spacing w:after="0" w:line="240" w:lineRule="auto"/>
        <w:jc w:val="center"/>
        <w:rPr>
          <w:rFonts w:asciiTheme="minorHAnsi" w:hAnsiTheme="minorHAnsi" w:cstheme="minorHAnsi"/>
          <w:sz w:val="24"/>
          <w:szCs w:val="24"/>
        </w:rPr>
      </w:pPr>
      <w:r w:rsidRPr="008C34E0">
        <w:rPr>
          <w:rFonts w:asciiTheme="minorHAnsi" w:hAnsiTheme="minorHAnsi" w:cstheme="minorHAnsi"/>
          <w:sz w:val="24"/>
          <w:szCs w:val="24"/>
        </w:rPr>
        <w:t>Superintendente de Auditagem - Matrícula n° 113-9</w:t>
      </w:r>
    </w:p>
    <w:p w:rsidR="00D85691" w:rsidRPr="008C34E0" w:rsidRDefault="00D85691" w:rsidP="00E9416F">
      <w:pPr>
        <w:tabs>
          <w:tab w:val="left" w:pos="0"/>
        </w:tabs>
        <w:spacing w:after="0" w:line="240" w:lineRule="auto"/>
        <w:jc w:val="center"/>
        <w:rPr>
          <w:rFonts w:asciiTheme="minorHAnsi" w:hAnsiTheme="minorHAnsi" w:cstheme="minorHAnsi"/>
          <w:sz w:val="24"/>
          <w:szCs w:val="24"/>
        </w:rPr>
      </w:pPr>
    </w:p>
    <w:sectPr w:rsidR="00D85691" w:rsidRPr="008C34E0" w:rsidSect="00E9416F">
      <w:headerReference w:type="default" r:id="rId7"/>
      <w:pgSz w:w="11906" w:h="16838"/>
      <w:pgMar w:top="2268"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0D8" w:rsidRDefault="00B250D8" w:rsidP="003068B9">
      <w:pPr>
        <w:spacing w:after="0" w:line="240" w:lineRule="auto"/>
      </w:pPr>
      <w:r>
        <w:separator/>
      </w:r>
    </w:p>
  </w:endnote>
  <w:endnote w:type="continuationSeparator" w:id="0">
    <w:p w:rsidR="00B250D8" w:rsidRDefault="00B250D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0D8" w:rsidRDefault="00B250D8" w:rsidP="003068B9">
      <w:pPr>
        <w:spacing w:after="0" w:line="240" w:lineRule="auto"/>
      </w:pPr>
      <w:r>
        <w:separator/>
      </w:r>
    </w:p>
  </w:footnote>
  <w:footnote w:type="continuationSeparator" w:id="0">
    <w:p w:rsidR="00B250D8" w:rsidRDefault="00B250D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0D8" w:rsidRDefault="002533CC">
    <w:pPr>
      <w:pStyle w:val="Cabealho"/>
    </w:pP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B250D8" w:rsidRPr="0098367C" w:rsidRDefault="00B250D8"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Text Box 1" o:spid="_x0000_s1027" type="#_x0000_t202" style="position:absolute;margin-left:461.7pt;margin-top:22.35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UuswIAAL8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" filled="f" stroked="f">
          <v:textbox>
            <w:txbxContent>
              <w:p w:rsidR="00B250D8" w:rsidRPr="003068B9" w:rsidRDefault="00B250D8" w:rsidP="003068B9">
                <w:pPr>
                  <w:jc w:val="center"/>
                  <w:rPr>
                    <w:rFonts w:ascii="Arial" w:hAnsi="Arial" w:cs="Arial"/>
                    <w:sz w:val="24"/>
                    <w:szCs w:val="24"/>
                  </w:rPr>
                </w:pPr>
                <w:r w:rsidRPr="003068B9">
                  <w:rPr>
                    <w:rFonts w:ascii="Arial" w:hAnsi="Arial" w:cs="Arial"/>
                    <w:sz w:val="24"/>
                    <w:szCs w:val="24"/>
                  </w:rPr>
                  <w:t>00</w:t>
                </w:r>
              </w:p>
            </w:txbxContent>
          </v:textbox>
        </v:shape>
      </w:pict>
    </w:r>
    <w:r w:rsidR="00B250D8">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0B866E46"/>
    <w:lvl w:ilvl="0" w:tplc="0C2A2B9A">
      <w:start w:val="1"/>
      <w:numFmt w:val="lowerLetter"/>
      <w:lvlText w:val="%1)"/>
      <w:lvlJc w:val="left"/>
      <w:pPr>
        <w:ind w:left="720" w:hanging="360"/>
      </w:pPr>
      <w:rPr>
        <w:b/>
        <w:i w:val="0"/>
        <w:color w:val="auto"/>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09D5EAF"/>
    <w:multiLevelType w:val="hybridMultilevel"/>
    <w:tmpl w:val="717864CA"/>
    <w:lvl w:ilvl="0" w:tplc="34B430DA">
      <w:start w:val="1"/>
      <w:numFmt w:val="lowerLetter"/>
      <w:lvlText w:val="%1)"/>
      <w:lvlJc w:val="left"/>
      <w:pPr>
        <w:ind w:left="360" w:hanging="360"/>
      </w:pPr>
      <w:rPr>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5AA"/>
    <w:rsid w:val="00024DE5"/>
    <w:rsid w:val="00024FA7"/>
    <w:rsid w:val="0003527B"/>
    <w:rsid w:val="00036DBB"/>
    <w:rsid w:val="000400F9"/>
    <w:rsid w:val="00052F6D"/>
    <w:rsid w:val="00055482"/>
    <w:rsid w:val="0009012C"/>
    <w:rsid w:val="000A0DF8"/>
    <w:rsid w:val="000A46A8"/>
    <w:rsid w:val="000C176E"/>
    <w:rsid w:val="000C6EBB"/>
    <w:rsid w:val="000C79E3"/>
    <w:rsid w:val="000E6E84"/>
    <w:rsid w:val="000F744A"/>
    <w:rsid w:val="00100DE2"/>
    <w:rsid w:val="001126DB"/>
    <w:rsid w:val="00115B57"/>
    <w:rsid w:val="0012048A"/>
    <w:rsid w:val="00165010"/>
    <w:rsid w:val="00177DF0"/>
    <w:rsid w:val="00192C2D"/>
    <w:rsid w:val="001A1614"/>
    <w:rsid w:val="001B06ED"/>
    <w:rsid w:val="001C5077"/>
    <w:rsid w:val="001E2116"/>
    <w:rsid w:val="001F6712"/>
    <w:rsid w:val="00204B5A"/>
    <w:rsid w:val="00211C2C"/>
    <w:rsid w:val="0024603C"/>
    <w:rsid w:val="002470A0"/>
    <w:rsid w:val="00250A6E"/>
    <w:rsid w:val="002533CC"/>
    <w:rsid w:val="002723BA"/>
    <w:rsid w:val="00273191"/>
    <w:rsid w:val="00273937"/>
    <w:rsid w:val="00287AEA"/>
    <w:rsid w:val="002C715B"/>
    <w:rsid w:val="002E329F"/>
    <w:rsid w:val="002E41E1"/>
    <w:rsid w:val="00304120"/>
    <w:rsid w:val="003041E8"/>
    <w:rsid w:val="003068B9"/>
    <w:rsid w:val="00320A2A"/>
    <w:rsid w:val="0032121F"/>
    <w:rsid w:val="003340CB"/>
    <w:rsid w:val="00336F26"/>
    <w:rsid w:val="003469FA"/>
    <w:rsid w:val="0035041A"/>
    <w:rsid w:val="003517B0"/>
    <w:rsid w:val="00364336"/>
    <w:rsid w:val="003721F1"/>
    <w:rsid w:val="003730EA"/>
    <w:rsid w:val="00373B4F"/>
    <w:rsid w:val="0038290C"/>
    <w:rsid w:val="003A52D5"/>
    <w:rsid w:val="003A52F7"/>
    <w:rsid w:val="003C67EF"/>
    <w:rsid w:val="003D0B72"/>
    <w:rsid w:val="003D6263"/>
    <w:rsid w:val="003D78BF"/>
    <w:rsid w:val="003F2978"/>
    <w:rsid w:val="00411143"/>
    <w:rsid w:val="00414008"/>
    <w:rsid w:val="00417191"/>
    <w:rsid w:val="00424EBD"/>
    <w:rsid w:val="00433D3B"/>
    <w:rsid w:val="00445626"/>
    <w:rsid w:val="004461DF"/>
    <w:rsid w:val="0046430D"/>
    <w:rsid w:val="00487AFD"/>
    <w:rsid w:val="00491A69"/>
    <w:rsid w:val="004939D9"/>
    <w:rsid w:val="00497C30"/>
    <w:rsid w:val="004A2610"/>
    <w:rsid w:val="004B32C7"/>
    <w:rsid w:val="004B7E12"/>
    <w:rsid w:val="004D4D82"/>
    <w:rsid w:val="004E34F3"/>
    <w:rsid w:val="004E71AB"/>
    <w:rsid w:val="004F791B"/>
    <w:rsid w:val="00533A91"/>
    <w:rsid w:val="00563EA7"/>
    <w:rsid w:val="00576FB6"/>
    <w:rsid w:val="00581710"/>
    <w:rsid w:val="005825A6"/>
    <w:rsid w:val="0058664D"/>
    <w:rsid w:val="005A6216"/>
    <w:rsid w:val="005B3230"/>
    <w:rsid w:val="005B7196"/>
    <w:rsid w:val="005D66C0"/>
    <w:rsid w:val="005E3B9D"/>
    <w:rsid w:val="005F2CA0"/>
    <w:rsid w:val="006011A4"/>
    <w:rsid w:val="00605896"/>
    <w:rsid w:val="00616A22"/>
    <w:rsid w:val="00620F0B"/>
    <w:rsid w:val="0062563B"/>
    <w:rsid w:val="00631CFD"/>
    <w:rsid w:val="006544AD"/>
    <w:rsid w:val="00656B07"/>
    <w:rsid w:val="00672DD2"/>
    <w:rsid w:val="00677CBC"/>
    <w:rsid w:val="00684A9E"/>
    <w:rsid w:val="0069137D"/>
    <w:rsid w:val="0069756C"/>
    <w:rsid w:val="006B0FDC"/>
    <w:rsid w:val="006B5E7C"/>
    <w:rsid w:val="006C0777"/>
    <w:rsid w:val="006C4470"/>
    <w:rsid w:val="006C7825"/>
    <w:rsid w:val="006D4BA4"/>
    <w:rsid w:val="006D6725"/>
    <w:rsid w:val="006E3C96"/>
    <w:rsid w:val="00714266"/>
    <w:rsid w:val="00715B1E"/>
    <w:rsid w:val="00776B71"/>
    <w:rsid w:val="00780F8D"/>
    <w:rsid w:val="00782643"/>
    <w:rsid w:val="00783480"/>
    <w:rsid w:val="007839CA"/>
    <w:rsid w:val="007A1294"/>
    <w:rsid w:val="007A2BEA"/>
    <w:rsid w:val="007B17B7"/>
    <w:rsid w:val="007C7F1B"/>
    <w:rsid w:val="007E63A8"/>
    <w:rsid w:val="007F4250"/>
    <w:rsid w:val="008011F0"/>
    <w:rsid w:val="0080251D"/>
    <w:rsid w:val="008030CA"/>
    <w:rsid w:val="00803BA3"/>
    <w:rsid w:val="00840469"/>
    <w:rsid w:val="00845BB6"/>
    <w:rsid w:val="0087178E"/>
    <w:rsid w:val="008749F2"/>
    <w:rsid w:val="00877671"/>
    <w:rsid w:val="008814AA"/>
    <w:rsid w:val="008836E4"/>
    <w:rsid w:val="008972A1"/>
    <w:rsid w:val="008A04C7"/>
    <w:rsid w:val="008A4037"/>
    <w:rsid w:val="008A7908"/>
    <w:rsid w:val="008C34E0"/>
    <w:rsid w:val="008D1EEF"/>
    <w:rsid w:val="008D37F3"/>
    <w:rsid w:val="008D4937"/>
    <w:rsid w:val="008D4D12"/>
    <w:rsid w:val="008D57C7"/>
    <w:rsid w:val="008E0D58"/>
    <w:rsid w:val="008E65B4"/>
    <w:rsid w:val="008F092E"/>
    <w:rsid w:val="008F385D"/>
    <w:rsid w:val="00903415"/>
    <w:rsid w:val="00914762"/>
    <w:rsid w:val="00914C50"/>
    <w:rsid w:val="00931140"/>
    <w:rsid w:val="00946AFC"/>
    <w:rsid w:val="00947A23"/>
    <w:rsid w:val="0095196D"/>
    <w:rsid w:val="009801DE"/>
    <w:rsid w:val="00981D97"/>
    <w:rsid w:val="0098367C"/>
    <w:rsid w:val="00990B1E"/>
    <w:rsid w:val="009912FD"/>
    <w:rsid w:val="009C2110"/>
    <w:rsid w:val="00A1518B"/>
    <w:rsid w:val="00A203F3"/>
    <w:rsid w:val="00A226DE"/>
    <w:rsid w:val="00A22B14"/>
    <w:rsid w:val="00A316F9"/>
    <w:rsid w:val="00A37A08"/>
    <w:rsid w:val="00A64C46"/>
    <w:rsid w:val="00A74A04"/>
    <w:rsid w:val="00A80E1A"/>
    <w:rsid w:val="00A814EA"/>
    <w:rsid w:val="00A83ACB"/>
    <w:rsid w:val="00A92B18"/>
    <w:rsid w:val="00A92CAA"/>
    <w:rsid w:val="00AA447F"/>
    <w:rsid w:val="00AB4BF4"/>
    <w:rsid w:val="00AD397C"/>
    <w:rsid w:val="00AE09CC"/>
    <w:rsid w:val="00AE256B"/>
    <w:rsid w:val="00AE73A6"/>
    <w:rsid w:val="00B1372C"/>
    <w:rsid w:val="00B16C01"/>
    <w:rsid w:val="00B23528"/>
    <w:rsid w:val="00B250D8"/>
    <w:rsid w:val="00B32552"/>
    <w:rsid w:val="00B4146B"/>
    <w:rsid w:val="00B6682B"/>
    <w:rsid w:val="00B67551"/>
    <w:rsid w:val="00B77A4C"/>
    <w:rsid w:val="00B80227"/>
    <w:rsid w:val="00B8028D"/>
    <w:rsid w:val="00BA6F06"/>
    <w:rsid w:val="00BC1EA2"/>
    <w:rsid w:val="00BE06DD"/>
    <w:rsid w:val="00BF0D92"/>
    <w:rsid w:val="00C12816"/>
    <w:rsid w:val="00C128EC"/>
    <w:rsid w:val="00C15C50"/>
    <w:rsid w:val="00C2161F"/>
    <w:rsid w:val="00C305BD"/>
    <w:rsid w:val="00C34EF4"/>
    <w:rsid w:val="00C61C6B"/>
    <w:rsid w:val="00C7243B"/>
    <w:rsid w:val="00C855B1"/>
    <w:rsid w:val="00C9107E"/>
    <w:rsid w:val="00CB54AE"/>
    <w:rsid w:val="00CD1217"/>
    <w:rsid w:val="00CD1E76"/>
    <w:rsid w:val="00CE1F86"/>
    <w:rsid w:val="00CE482D"/>
    <w:rsid w:val="00CF11E5"/>
    <w:rsid w:val="00D00F00"/>
    <w:rsid w:val="00D039D4"/>
    <w:rsid w:val="00D11111"/>
    <w:rsid w:val="00D27DCE"/>
    <w:rsid w:val="00D33E5D"/>
    <w:rsid w:val="00D35AE3"/>
    <w:rsid w:val="00D43874"/>
    <w:rsid w:val="00D576AB"/>
    <w:rsid w:val="00D614D5"/>
    <w:rsid w:val="00D64258"/>
    <w:rsid w:val="00D64577"/>
    <w:rsid w:val="00D7438D"/>
    <w:rsid w:val="00D75B6C"/>
    <w:rsid w:val="00D80DD3"/>
    <w:rsid w:val="00D85691"/>
    <w:rsid w:val="00DB3A78"/>
    <w:rsid w:val="00DC1188"/>
    <w:rsid w:val="00DD0A36"/>
    <w:rsid w:val="00DE4762"/>
    <w:rsid w:val="00E015EB"/>
    <w:rsid w:val="00E157ED"/>
    <w:rsid w:val="00E15B06"/>
    <w:rsid w:val="00E1725F"/>
    <w:rsid w:val="00E25786"/>
    <w:rsid w:val="00E317B8"/>
    <w:rsid w:val="00E34120"/>
    <w:rsid w:val="00E413D9"/>
    <w:rsid w:val="00E571E0"/>
    <w:rsid w:val="00E6255C"/>
    <w:rsid w:val="00E84BD9"/>
    <w:rsid w:val="00E85285"/>
    <w:rsid w:val="00E90ACB"/>
    <w:rsid w:val="00E9416F"/>
    <w:rsid w:val="00E94461"/>
    <w:rsid w:val="00EA7DC0"/>
    <w:rsid w:val="00EB66EF"/>
    <w:rsid w:val="00EB6F91"/>
    <w:rsid w:val="00ED1E34"/>
    <w:rsid w:val="00EE4153"/>
    <w:rsid w:val="00EE7038"/>
    <w:rsid w:val="00EE7875"/>
    <w:rsid w:val="00F252D0"/>
    <w:rsid w:val="00F414BF"/>
    <w:rsid w:val="00F44D3C"/>
    <w:rsid w:val="00F45C08"/>
    <w:rsid w:val="00F56C42"/>
    <w:rsid w:val="00F704A4"/>
    <w:rsid w:val="00F74EEC"/>
    <w:rsid w:val="00F75A06"/>
    <w:rsid w:val="00F77FA2"/>
    <w:rsid w:val="00F8136E"/>
    <w:rsid w:val="00F83D45"/>
    <w:rsid w:val="00F918F6"/>
    <w:rsid w:val="00F95854"/>
    <w:rsid w:val="00FA00C0"/>
    <w:rsid w:val="00FA086A"/>
    <w:rsid w:val="00FA1DB9"/>
    <w:rsid w:val="00FA7FB3"/>
    <w:rsid w:val="00FB258E"/>
    <w:rsid w:val="00FC29CA"/>
    <w:rsid w:val="00FC7634"/>
    <w:rsid w:val="00FE1EBE"/>
    <w:rsid w:val="00FE23A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table" w:styleId="Tabelacomgrade">
    <w:name w:val="Table Grid"/>
    <w:basedOn w:val="Tabelanormal"/>
    <w:uiPriority w:val="59"/>
    <w:rsid w:val="008C3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986</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Denys Rocha</dc:creator>
  <cp:lastModifiedBy>adriana.araujo</cp:lastModifiedBy>
  <cp:revision>9</cp:revision>
  <cp:lastPrinted>2017-06-01T18:41:00Z</cp:lastPrinted>
  <dcterms:created xsi:type="dcterms:W3CDTF">2017-06-01T16:51:00Z</dcterms:created>
  <dcterms:modified xsi:type="dcterms:W3CDTF">2017-06-01T19:07:00Z</dcterms:modified>
</cp:coreProperties>
</file>