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22AA6">
        <w:rPr>
          <w:rFonts w:ascii="Arial" w:hAnsi="Arial" w:cs="Arial"/>
          <w:sz w:val="22"/>
          <w:szCs w:val="22"/>
          <w:lang w:val="pt-BR"/>
        </w:rPr>
        <w:t>1101 3025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E46BF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22AA6">
        <w:rPr>
          <w:rFonts w:ascii="Arial" w:hAnsi="Arial" w:cs="Arial"/>
          <w:sz w:val="22"/>
          <w:szCs w:val="22"/>
          <w:lang w:val="pt-BR"/>
        </w:rPr>
        <w:t>1530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22AA6">
        <w:rPr>
          <w:rFonts w:ascii="Arial" w:hAnsi="Arial" w:cs="Arial"/>
          <w:sz w:val="22"/>
          <w:szCs w:val="22"/>
          <w:lang w:val="pt-BR"/>
        </w:rPr>
        <w:t>MINISTÉRIO DE ESTADO DO CONTROLE E DA TRANSPARENCIA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22AA6">
        <w:rPr>
          <w:rFonts w:ascii="Arial" w:hAnsi="Arial" w:cs="Arial"/>
          <w:sz w:val="22"/>
          <w:szCs w:val="22"/>
          <w:lang w:val="pt-BR"/>
        </w:rPr>
        <w:t>ENCAMINHAMENTO DE DOCUMENTOS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E760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2016-10-18T14:07:00Z</dcterms:created>
  <dcterms:modified xsi:type="dcterms:W3CDTF">2016-10-18T14:07:00Z</dcterms:modified>
</cp:coreProperties>
</file>