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412" w:rsidRPr="00A040FF" w:rsidRDefault="00634412" w:rsidP="00A27C83">
      <w:pPr>
        <w:spacing w:line="360" w:lineRule="auto"/>
        <w:jc w:val="both"/>
        <w:rPr>
          <w:rFonts w:ascii="Arial" w:hAnsi="Arial" w:cs="Arial"/>
          <w:sz w:val="22"/>
          <w:szCs w:val="22"/>
          <w:lang w:val="pt-BR"/>
        </w:rPr>
      </w:pPr>
      <w:r w:rsidRPr="00A040FF">
        <w:rPr>
          <w:rFonts w:ascii="Arial" w:hAnsi="Arial" w:cs="Arial"/>
          <w:b/>
          <w:sz w:val="22"/>
          <w:szCs w:val="22"/>
          <w:lang w:val="pt-BR"/>
        </w:rPr>
        <w:t xml:space="preserve">PROCESSO nº </w:t>
      </w:r>
      <w:r w:rsidR="0009478F" w:rsidRPr="00A040FF">
        <w:rPr>
          <w:rFonts w:ascii="Arial" w:hAnsi="Arial" w:cs="Arial"/>
          <w:sz w:val="22"/>
          <w:szCs w:val="22"/>
          <w:lang w:val="pt-BR"/>
        </w:rPr>
        <w:t>1104-</w:t>
      </w:r>
      <w:r w:rsidR="000A51CA" w:rsidRPr="00A040FF">
        <w:rPr>
          <w:rFonts w:ascii="Arial" w:hAnsi="Arial" w:cs="Arial"/>
          <w:sz w:val="22"/>
          <w:szCs w:val="22"/>
          <w:lang w:val="pt-BR"/>
        </w:rPr>
        <w:t>0</w:t>
      </w:r>
      <w:r w:rsidR="0013440E" w:rsidRPr="00A040FF">
        <w:rPr>
          <w:rFonts w:ascii="Arial" w:hAnsi="Arial" w:cs="Arial"/>
          <w:sz w:val="22"/>
          <w:szCs w:val="22"/>
          <w:lang w:val="pt-BR"/>
        </w:rPr>
        <w:t>00845</w:t>
      </w:r>
      <w:r w:rsidR="000A51CA" w:rsidRPr="00A040FF">
        <w:rPr>
          <w:rFonts w:ascii="Arial" w:hAnsi="Arial" w:cs="Arial"/>
          <w:sz w:val="22"/>
          <w:szCs w:val="22"/>
          <w:lang w:val="pt-BR"/>
        </w:rPr>
        <w:t>/2016</w:t>
      </w:r>
    </w:p>
    <w:p w:rsidR="00634412" w:rsidRPr="00A040FF" w:rsidRDefault="00634412" w:rsidP="00A27C83">
      <w:pPr>
        <w:spacing w:line="360" w:lineRule="auto"/>
        <w:jc w:val="both"/>
        <w:rPr>
          <w:rFonts w:ascii="Arial" w:hAnsi="Arial" w:cs="Arial"/>
          <w:sz w:val="22"/>
          <w:szCs w:val="22"/>
          <w:lang w:val="pt-BR"/>
        </w:rPr>
      </w:pPr>
      <w:r w:rsidRPr="00A040FF">
        <w:rPr>
          <w:rFonts w:ascii="Arial" w:hAnsi="Arial" w:cs="Arial"/>
          <w:b/>
          <w:sz w:val="22"/>
          <w:szCs w:val="22"/>
          <w:lang w:val="pt-BR"/>
        </w:rPr>
        <w:t xml:space="preserve">DESPACHO n° </w:t>
      </w:r>
      <w:r w:rsidR="000A51CA" w:rsidRPr="00A040FF">
        <w:rPr>
          <w:rFonts w:ascii="Arial" w:hAnsi="Arial" w:cs="Arial"/>
          <w:sz w:val="22"/>
          <w:szCs w:val="22"/>
          <w:lang w:val="pt-BR"/>
        </w:rPr>
        <w:t>1</w:t>
      </w:r>
      <w:r w:rsidR="0013440E" w:rsidRPr="00A040FF">
        <w:rPr>
          <w:rFonts w:ascii="Arial" w:hAnsi="Arial" w:cs="Arial"/>
          <w:sz w:val="22"/>
          <w:szCs w:val="22"/>
          <w:lang w:val="pt-BR"/>
        </w:rPr>
        <w:t>548</w:t>
      </w:r>
      <w:r w:rsidRPr="00A040FF">
        <w:rPr>
          <w:rFonts w:ascii="Arial" w:hAnsi="Arial" w:cs="Arial"/>
          <w:sz w:val="22"/>
          <w:szCs w:val="22"/>
          <w:lang w:val="pt-BR"/>
        </w:rPr>
        <w:t>/2015</w:t>
      </w:r>
    </w:p>
    <w:p w:rsidR="00634412" w:rsidRPr="00A040FF" w:rsidRDefault="00634412" w:rsidP="00A27C83">
      <w:pPr>
        <w:spacing w:line="360" w:lineRule="auto"/>
        <w:jc w:val="both"/>
        <w:rPr>
          <w:rFonts w:ascii="Arial" w:hAnsi="Arial" w:cs="Arial"/>
          <w:sz w:val="22"/>
          <w:szCs w:val="22"/>
          <w:lang w:val="pt-BR"/>
        </w:rPr>
      </w:pPr>
      <w:r w:rsidRPr="00A040FF">
        <w:rPr>
          <w:rFonts w:ascii="Arial" w:hAnsi="Arial" w:cs="Arial"/>
          <w:b/>
          <w:sz w:val="22"/>
          <w:szCs w:val="22"/>
          <w:lang w:val="pt-BR"/>
        </w:rPr>
        <w:t>ASSUNTO:</w:t>
      </w:r>
      <w:r w:rsidRPr="00A040FF">
        <w:rPr>
          <w:rFonts w:ascii="Arial" w:hAnsi="Arial" w:cs="Arial"/>
          <w:sz w:val="22"/>
          <w:szCs w:val="22"/>
          <w:lang w:val="pt-BR"/>
        </w:rPr>
        <w:t xml:space="preserve"> </w:t>
      </w:r>
      <w:r w:rsidR="0013440E" w:rsidRPr="00A040FF">
        <w:rPr>
          <w:rFonts w:ascii="Arial" w:hAnsi="Arial" w:cs="Arial"/>
          <w:sz w:val="22"/>
          <w:szCs w:val="22"/>
          <w:lang w:val="pt-BR"/>
        </w:rPr>
        <w:t>Providências Administrativas.</w:t>
      </w:r>
    </w:p>
    <w:p w:rsidR="00634412" w:rsidRPr="00A040FF" w:rsidRDefault="00634412" w:rsidP="00A27C83">
      <w:pPr>
        <w:spacing w:line="360" w:lineRule="auto"/>
        <w:jc w:val="both"/>
        <w:rPr>
          <w:rFonts w:ascii="Arial" w:hAnsi="Arial" w:cs="Arial"/>
          <w:sz w:val="22"/>
          <w:szCs w:val="22"/>
          <w:lang w:val="pt-BR"/>
        </w:rPr>
      </w:pPr>
      <w:r w:rsidRPr="00A040FF">
        <w:rPr>
          <w:rFonts w:ascii="Arial" w:hAnsi="Arial" w:cs="Arial"/>
          <w:b/>
          <w:sz w:val="22"/>
          <w:szCs w:val="22"/>
          <w:lang w:val="pt-BR"/>
        </w:rPr>
        <w:t>INTERESSADO:</w:t>
      </w:r>
      <w:r w:rsidRPr="00A040FF">
        <w:rPr>
          <w:rFonts w:ascii="Arial" w:hAnsi="Arial" w:cs="Arial"/>
          <w:sz w:val="22"/>
          <w:szCs w:val="22"/>
          <w:lang w:val="pt-BR"/>
        </w:rPr>
        <w:t xml:space="preserve"> </w:t>
      </w:r>
      <w:r w:rsidR="0013440E" w:rsidRPr="00A040FF">
        <w:rPr>
          <w:rFonts w:ascii="Arial" w:hAnsi="Arial" w:cs="Arial"/>
          <w:sz w:val="22"/>
          <w:szCs w:val="22"/>
          <w:lang w:val="pt-BR"/>
        </w:rPr>
        <w:t>Ministério Público Estadual – MPE.</w:t>
      </w:r>
    </w:p>
    <w:p w:rsidR="000A51CA" w:rsidRPr="00A040FF" w:rsidRDefault="000A51CA" w:rsidP="00A27C83">
      <w:pPr>
        <w:spacing w:line="360" w:lineRule="auto"/>
        <w:jc w:val="both"/>
        <w:rPr>
          <w:rFonts w:ascii="Arial" w:hAnsi="Arial" w:cs="Arial"/>
          <w:sz w:val="22"/>
          <w:szCs w:val="22"/>
          <w:lang w:val="pt-BR"/>
        </w:rPr>
      </w:pPr>
      <w:r w:rsidRPr="00A040FF">
        <w:rPr>
          <w:rFonts w:ascii="Arial" w:hAnsi="Arial" w:cs="Arial"/>
          <w:sz w:val="22"/>
          <w:szCs w:val="22"/>
          <w:lang w:val="pt-BR"/>
        </w:rPr>
        <w:t xml:space="preserve">DETALHES: </w:t>
      </w:r>
      <w:r w:rsidR="0013440E" w:rsidRPr="00A040FF">
        <w:rPr>
          <w:rFonts w:ascii="Arial" w:hAnsi="Arial" w:cs="Arial"/>
          <w:sz w:val="22"/>
          <w:szCs w:val="22"/>
          <w:lang w:val="pt-BR"/>
        </w:rPr>
        <w:t>Solicitação de Adoção de Providências.</w:t>
      </w:r>
    </w:p>
    <w:p w:rsidR="00634412" w:rsidRPr="00A040FF" w:rsidRDefault="00634412" w:rsidP="00A27C83">
      <w:pPr>
        <w:spacing w:line="360" w:lineRule="auto"/>
        <w:ind w:left="1418" w:hanging="1418"/>
        <w:jc w:val="both"/>
        <w:rPr>
          <w:rFonts w:ascii="Arial" w:hAnsi="Arial" w:cs="Arial"/>
          <w:sz w:val="22"/>
          <w:szCs w:val="22"/>
          <w:lang w:val="pt-BR"/>
        </w:rPr>
      </w:pPr>
    </w:p>
    <w:p w:rsidR="00634412" w:rsidRPr="00A040FF" w:rsidRDefault="00634412" w:rsidP="00A27C8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6A6A6" w:themeFill="background1" w:themeFillShade="A6"/>
        <w:jc w:val="both"/>
        <w:rPr>
          <w:rFonts w:ascii="Arial" w:hAnsi="Arial" w:cs="Arial"/>
          <w:b/>
          <w:sz w:val="22"/>
          <w:szCs w:val="22"/>
          <w:lang w:val="pt-BR"/>
        </w:rPr>
      </w:pPr>
      <w:r w:rsidRPr="00A040FF">
        <w:rPr>
          <w:rFonts w:ascii="Arial" w:hAnsi="Arial" w:cs="Arial"/>
          <w:b/>
          <w:sz w:val="22"/>
          <w:szCs w:val="22"/>
          <w:lang w:val="pt-BR"/>
        </w:rPr>
        <w:t>DESPACHO</w:t>
      </w:r>
    </w:p>
    <w:p w:rsidR="00234AE4" w:rsidRPr="00A040FF" w:rsidRDefault="00234AE4" w:rsidP="00A27C83">
      <w:pPr>
        <w:spacing w:line="360" w:lineRule="auto"/>
        <w:jc w:val="both"/>
        <w:rPr>
          <w:rFonts w:ascii="Arial" w:hAnsi="Arial" w:cs="Arial"/>
          <w:sz w:val="22"/>
          <w:szCs w:val="22"/>
          <w:lang w:val="pt-BR"/>
        </w:rPr>
      </w:pPr>
    </w:p>
    <w:p w:rsidR="004814FB" w:rsidRPr="00A040FF" w:rsidRDefault="00566D5C" w:rsidP="00A27C83">
      <w:pPr>
        <w:spacing w:line="360" w:lineRule="auto"/>
        <w:ind w:firstLine="708"/>
        <w:jc w:val="both"/>
        <w:rPr>
          <w:rFonts w:ascii="Arial" w:hAnsi="Arial" w:cs="Arial"/>
          <w:b/>
          <w:i/>
          <w:sz w:val="22"/>
          <w:szCs w:val="22"/>
          <w:u w:val="single"/>
          <w:lang w:val="pt-BR"/>
        </w:rPr>
      </w:pPr>
      <w:r w:rsidRPr="00A040FF">
        <w:rPr>
          <w:rFonts w:ascii="Arial" w:hAnsi="Arial" w:cs="Arial"/>
          <w:sz w:val="22"/>
          <w:szCs w:val="22"/>
          <w:lang w:val="pt-BR"/>
        </w:rPr>
        <w:t xml:space="preserve">Trata-se de </w:t>
      </w:r>
      <w:r w:rsidR="00D509B1" w:rsidRPr="00A040FF">
        <w:rPr>
          <w:rFonts w:ascii="Arial" w:hAnsi="Arial" w:cs="Arial"/>
          <w:sz w:val="22"/>
          <w:szCs w:val="22"/>
          <w:lang w:val="pt-BR"/>
        </w:rPr>
        <w:t xml:space="preserve">Processo Administrativo de nº </w:t>
      </w:r>
      <w:r w:rsidR="0009478F" w:rsidRPr="00A040FF">
        <w:rPr>
          <w:rFonts w:ascii="Arial" w:hAnsi="Arial" w:cs="Arial"/>
          <w:sz w:val="22"/>
          <w:szCs w:val="22"/>
          <w:lang w:val="pt-BR"/>
        </w:rPr>
        <w:t>1104-</w:t>
      </w:r>
      <w:r w:rsidR="000A51CA" w:rsidRPr="00A040FF">
        <w:rPr>
          <w:rFonts w:ascii="Arial" w:hAnsi="Arial" w:cs="Arial"/>
          <w:sz w:val="22"/>
          <w:szCs w:val="22"/>
          <w:lang w:val="pt-BR"/>
        </w:rPr>
        <w:t>008</w:t>
      </w:r>
      <w:r w:rsidR="0013440E" w:rsidRPr="00A040FF">
        <w:rPr>
          <w:rFonts w:ascii="Arial" w:hAnsi="Arial" w:cs="Arial"/>
          <w:sz w:val="22"/>
          <w:szCs w:val="22"/>
          <w:lang w:val="pt-BR"/>
        </w:rPr>
        <w:t>45</w:t>
      </w:r>
      <w:r w:rsidR="0009478F" w:rsidRPr="00A040FF">
        <w:rPr>
          <w:rFonts w:ascii="Arial" w:hAnsi="Arial" w:cs="Arial"/>
          <w:sz w:val="22"/>
          <w:szCs w:val="22"/>
          <w:lang w:val="pt-BR"/>
        </w:rPr>
        <w:t>/201</w:t>
      </w:r>
      <w:r w:rsidR="000A51CA" w:rsidRPr="00A040FF">
        <w:rPr>
          <w:rFonts w:ascii="Arial" w:hAnsi="Arial" w:cs="Arial"/>
          <w:sz w:val="22"/>
          <w:szCs w:val="22"/>
          <w:lang w:val="pt-BR"/>
        </w:rPr>
        <w:t>6</w:t>
      </w:r>
      <w:r w:rsidR="00D509B1" w:rsidRPr="00A040FF">
        <w:rPr>
          <w:rFonts w:ascii="Arial" w:hAnsi="Arial" w:cs="Arial"/>
          <w:sz w:val="22"/>
          <w:szCs w:val="22"/>
          <w:lang w:val="pt-BR"/>
        </w:rPr>
        <w:t xml:space="preserve">, em volume Único, com </w:t>
      </w:r>
      <w:r w:rsidR="0013440E" w:rsidRPr="00A040FF">
        <w:rPr>
          <w:rFonts w:ascii="Arial" w:hAnsi="Arial" w:cs="Arial"/>
          <w:sz w:val="22"/>
          <w:szCs w:val="22"/>
          <w:lang w:val="pt-BR"/>
        </w:rPr>
        <w:t>04</w:t>
      </w:r>
      <w:r w:rsidR="00D509B1" w:rsidRPr="00A040FF">
        <w:rPr>
          <w:rFonts w:ascii="Arial" w:hAnsi="Arial" w:cs="Arial"/>
          <w:sz w:val="22"/>
          <w:szCs w:val="22"/>
          <w:lang w:val="pt-BR"/>
        </w:rPr>
        <w:t xml:space="preserve"> fls., </w:t>
      </w:r>
      <w:r w:rsidR="0009478F" w:rsidRPr="00A040FF">
        <w:rPr>
          <w:rFonts w:ascii="Arial" w:hAnsi="Arial" w:cs="Arial"/>
          <w:sz w:val="22"/>
          <w:szCs w:val="22"/>
          <w:lang w:val="pt-BR"/>
        </w:rPr>
        <w:t xml:space="preserve">aberto no </w:t>
      </w:r>
      <w:r w:rsidR="00D509B1" w:rsidRPr="00A040FF">
        <w:rPr>
          <w:rFonts w:ascii="Arial" w:hAnsi="Arial" w:cs="Arial"/>
          <w:sz w:val="22"/>
          <w:szCs w:val="22"/>
          <w:lang w:val="pt-BR"/>
        </w:rPr>
        <w:t>âmbito d</w:t>
      </w:r>
      <w:r w:rsidR="0009478F" w:rsidRPr="00A040FF">
        <w:rPr>
          <w:rFonts w:ascii="Arial" w:hAnsi="Arial" w:cs="Arial"/>
          <w:sz w:val="22"/>
          <w:szCs w:val="22"/>
          <w:lang w:val="pt-BR"/>
        </w:rPr>
        <w:t>esta Controladoria Geral</w:t>
      </w:r>
      <w:r w:rsidR="00D509B1" w:rsidRPr="00A040FF">
        <w:rPr>
          <w:rFonts w:ascii="Arial" w:hAnsi="Arial" w:cs="Arial"/>
          <w:sz w:val="22"/>
          <w:szCs w:val="22"/>
          <w:lang w:val="pt-BR"/>
        </w:rPr>
        <w:t xml:space="preserve">, </w:t>
      </w:r>
      <w:r w:rsidR="001619F6" w:rsidRPr="00A040FF">
        <w:rPr>
          <w:rFonts w:ascii="Arial" w:hAnsi="Arial" w:cs="Arial"/>
          <w:sz w:val="22"/>
          <w:szCs w:val="22"/>
          <w:lang w:val="pt-BR"/>
        </w:rPr>
        <w:t>referente à</w:t>
      </w:r>
      <w:r w:rsidR="0009478F" w:rsidRPr="00A040FF">
        <w:rPr>
          <w:rFonts w:ascii="Arial" w:hAnsi="Arial" w:cs="Arial"/>
          <w:sz w:val="22"/>
          <w:szCs w:val="22"/>
          <w:lang w:val="pt-BR"/>
        </w:rPr>
        <w:t xml:space="preserve"> solicitação recebida d</w:t>
      </w:r>
      <w:r w:rsidR="0013440E" w:rsidRPr="00A040FF">
        <w:rPr>
          <w:rFonts w:ascii="Arial" w:hAnsi="Arial" w:cs="Arial"/>
          <w:sz w:val="22"/>
          <w:szCs w:val="22"/>
          <w:lang w:val="pt-BR"/>
        </w:rPr>
        <w:t xml:space="preserve">o através do Ofício </w:t>
      </w:r>
      <w:r w:rsidR="002C69ED">
        <w:rPr>
          <w:rFonts w:ascii="Arial" w:hAnsi="Arial" w:cs="Arial"/>
          <w:sz w:val="22"/>
          <w:szCs w:val="22"/>
          <w:lang w:val="pt-BR"/>
        </w:rPr>
        <w:t xml:space="preserve">nº </w:t>
      </w:r>
      <w:r w:rsidR="0013440E" w:rsidRPr="00A040FF">
        <w:rPr>
          <w:rFonts w:ascii="Arial" w:hAnsi="Arial" w:cs="Arial"/>
          <w:sz w:val="22"/>
          <w:szCs w:val="22"/>
          <w:lang w:val="pt-BR"/>
        </w:rPr>
        <w:t>79/16 do Ministério Público Estadual – MPE - 21ª Promotoria de Justiça da Capital</w:t>
      </w:r>
      <w:r w:rsidR="00D509B1" w:rsidRPr="00A040FF">
        <w:rPr>
          <w:rFonts w:ascii="Arial" w:hAnsi="Arial" w:cs="Arial"/>
          <w:sz w:val="22"/>
          <w:szCs w:val="22"/>
          <w:lang w:val="pt-BR"/>
        </w:rPr>
        <w:t xml:space="preserve">, </w:t>
      </w:r>
      <w:r w:rsidR="001619F6" w:rsidRPr="00A040FF">
        <w:rPr>
          <w:rFonts w:ascii="Arial" w:hAnsi="Arial" w:cs="Arial"/>
          <w:sz w:val="22"/>
          <w:szCs w:val="22"/>
          <w:lang w:val="pt-BR"/>
        </w:rPr>
        <w:t xml:space="preserve">formalizada às fls. 02 </w:t>
      </w:r>
      <w:r w:rsidR="0013440E" w:rsidRPr="00A040FF">
        <w:rPr>
          <w:rFonts w:ascii="Arial" w:hAnsi="Arial" w:cs="Arial"/>
          <w:sz w:val="22"/>
          <w:szCs w:val="22"/>
          <w:lang w:val="pt-BR"/>
        </w:rPr>
        <w:t xml:space="preserve">e 03 </w:t>
      </w:r>
      <w:r w:rsidR="001619F6" w:rsidRPr="00A040FF">
        <w:rPr>
          <w:rFonts w:ascii="Arial" w:hAnsi="Arial" w:cs="Arial"/>
          <w:sz w:val="22"/>
          <w:szCs w:val="22"/>
          <w:lang w:val="pt-BR"/>
        </w:rPr>
        <w:t xml:space="preserve">dos autos, </w:t>
      </w:r>
      <w:r w:rsidR="002C69ED">
        <w:rPr>
          <w:rFonts w:ascii="Arial" w:hAnsi="Arial" w:cs="Arial"/>
          <w:sz w:val="22"/>
          <w:szCs w:val="22"/>
          <w:lang w:val="pt-BR"/>
        </w:rPr>
        <w:t xml:space="preserve">onde </w:t>
      </w:r>
      <w:r w:rsidR="0013440E" w:rsidRPr="00A040FF">
        <w:rPr>
          <w:rFonts w:ascii="Arial" w:hAnsi="Arial" w:cs="Arial"/>
          <w:sz w:val="22"/>
          <w:szCs w:val="22"/>
          <w:lang w:val="pt-BR"/>
        </w:rPr>
        <w:t xml:space="preserve">requisita cópia dos processos administrativos descritos e da documentação que embasa o </w:t>
      </w:r>
      <w:r w:rsidR="0013440E" w:rsidRPr="002C69ED">
        <w:rPr>
          <w:rFonts w:ascii="Arial" w:hAnsi="Arial" w:cs="Arial"/>
          <w:b/>
          <w:sz w:val="22"/>
          <w:szCs w:val="22"/>
          <w:lang w:val="pt-BR"/>
        </w:rPr>
        <w:t>Relatório Conclusivo nº 02/2015</w:t>
      </w:r>
      <w:r w:rsidR="0013440E" w:rsidRPr="00A040FF">
        <w:rPr>
          <w:rFonts w:ascii="Arial" w:hAnsi="Arial" w:cs="Arial"/>
          <w:sz w:val="22"/>
          <w:szCs w:val="22"/>
          <w:lang w:val="pt-BR"/>
        </w:rPr>
        <w:t xml:space="preserve">, referente à análise de processos de </w:t>
      </w:r>
      <w:r w:rsidR="002C69ED">
        <w:rPr>
          <w:rFonts w:ascii="Arial" w:hAnsi="Arial" w:cs="Arial"/>
          <w:sz w:val="22"/>
          <w:szCs w:val="22"/>
          <w:lang w:val="pt-BR"/>
        </w:rPr>
        <w:t>administrativos no âmbito da Secretaria de Estado da SAUDE – SESAU,</w:t>
      </w:r>
      <w:r w:rsidR="00FC373D" w:rsidRPr="00A040FF">
        <w:rPr>
          <w:rFonts w:ascii="Arial" w:hAnsi="Arial" w:cs="Arial"/>
          <w:sz w:val="22"/>
          <w:szCs w:val="22"/>
          <w:lang w:val="pt-BR"/>
        </w:rPr>
        <w:t xml:space="preserve"> Processo nº 1104-00052/2015</w:t>
      </w:r>
      <w:r w:rsidR="0013440E" w:rsidRPr="00A040FF">
        <w:rPr>
          <w:rFonts w:ascii="Arial" w:hAnsi="Arial" w:cs="Arial"/>
          <w:sz w:val="22"/>
          <w:szCs w:val="22"/>
          <w:lang w:val="pt-BR"/>
        </w:rPr>
        <w:t>, preferencialmente em formato digital.</w:t>
      </w:r>
    </w:p>
    <w:p w:rsidR="00771E40" w:rsidRPr="00A040FF" w:rsidRDefault="000A51CA" w:rsidP="00A27C83">
      <w:pPr>
        <w:spacing w:line="360" w:lineRule="auto"/>
        <w:ind w:firstLine="708"/>
        <w:jc w:val="both"/>
        <w:rPr>
          <w:rFonts w:ascii="Arial" w:hAnsi="Arial" w:cs="Arial"/>
          <w:sz w:val="22"/>
          <w:szCs w:val="22"/>
          <w:lang w:val="pt-BR"/>
        </w:rPr>
      </w:pPr>
      <w:r w:rsidRPr="00A040FF">
        <w:rPr>
          <w:rFonts w:ascii="Arial" w:hAnsi="Arial" w:cs="Arial"/>
          <w:sz w:val="22"/>
          <w:szCs w:val="22"/>
          <w:lang w:val="pt-BR"/>
        </w:rPr>
        <w:t xml:space="preserve">Os autos foram encaminhados a esta Superintendência, </w:t>
      </w:r>
      <w:r w:rsidR="00771E40" w:rsidRPr="00A040FF">
        <w:rPr>
          <w:rFonts w:ascii="Arial" w:hAnsi="Arial" w:cs="Arial"/>
          <w:sz w:val="22"/>
          <w:szCs w:val="22"/>
          <w:lang w:val="pt-BR"/>
        </w:rPr>
        <w:t xml:space="preserve">para </w:t>
      </w:r>
      <w:r w:rsidR="0013440E" w:rsidRPr="00A040FF">
        <w:rPr>
          <w:rFonts w:ascii="Arial" w:hAnsi="Arial" w:cs="Arial"/>
          <w:sz w:val="22"/>
          <w:szCs w:val="22"/>
          <w:lang w:val="pt-BR"/>
        </w:rPr>
        <w:t xml:space="preserve">ciência e providências cabíveis quanto ao atendimento do ofício 79/2016 – 21ª PJC/MPE. </w:t>
      </w:r>
      <w:r w:rsidR="00771E40" w:rsidRPr="00A040FF">
        <w:rPr>
          <w:rFonts w:ascii="Arial" w:hAnsi="Arial" w:cs="Arial"/>
          <w:sz w:val="22"/>
          <w:szCs w:val="22"/>
          <w:lang w:val="pt-BR"/>
        </w:rPr>
        <w:t>Em análise a legislação base existente no sitio do Gabinete Civil</w:t>
      </w:r>
      <w:r w:rsidR="00FC373D" w:rsidRPr="00A040FF">
        <w:rPr>
          <w:rFonts w:ascii="Arial" w:hAnsi="Arial" w:cs="Arial"/>
          <w:sz w:val="22"/>
          <w:szCs w:val="22"/>
          <w:lang w:val="pt-BR"/>
        </w:rPr>
        <w:t>.</w:t>
      </w:r>
    </w:p>
    <w:p w:rsidR="00FC373D" w:rsidRPr="00A040FF" w:rsidRDefault="00FC373D" w:rsidP="00A27C83">
      <w:pPr>
        <w:spacing w:line="360" w:lineRule="auto"/>
        <w:ind w:firstLine="708"/>
        <w:jc w:val="both"/>
        <w:rPr>
          <w:rFonts w:ascii="Arial" w:hAnsi="Arial" w:cs="Arial"/>
          <w:bCs/>
          <w:sz w:val="22"/>
          <w:szCs w:val="22"/>
          <w:lang w:val="pt-BR"/>
        </w:rPr>
      </w:pPr>
      <w:r w:rsidRPr="00A040FF">
        <w:rPr>
          <w:rFonts w:ascii="Arial" w:hAnsi="Arial" w:cs="Arial"/>
          <w:sz w:val="22"/>
          <w:szCs w:val="22"/>
          <w:lang w:val="pt-BR"/>
        </w:rPr>
        <w:t xml:space="preserve">Em análise aos autos do processo 1104-0052/2015, constata-se que o Decreto nº 39.456/2015 que </w:t>
      </w:r>
      <w:r w:rsidRPr="00A040FF">
        <w:rPr>
          <w:rFonts w:ascii="Arial" w:hAnsi="Arial" w:cs="Arial"/>
          <w:bCs/>
          <w:sz w:val="22"/>
          <w:szCs w:val="22"/>
          <w:lang w:val="pt-BR"/>
        </w:rPr>
        <w:t>estabelece normas relativas à execução orçamentária, contábil, financeira e patrimonial da administração pública estadual, e dá outras providências, em seu artigo 40 que trata das Despesas de Exercícios Anteriores</w:t>
      </w:r>
      <w:r w:rsidR="00A27C83" w:rsidRPr="00A040FF">
        <w:rPr>
          <w:rFonts w:ascii="Arial" w:hAnsi="Arial" w:cs="Arial"/>
          <w:bCs/>
          <w:sz w:val="22"/>
          <w:szCs w:val="22"/>
          <w:lang w:val="pt-BR"/>
        </w:rPr>
        <w:t>, determina:</w:t>
      </w:r>
    </w:p>
    <w:p w:rsidR="00A27C83" w:rsidRPr="00A040FF" w:rsidRDefault="00A27C83" w:rsidP="00A27C83">
      <w:pPr>
        <w:pStyle w:val="Default"/>
        <w:spacing w:line="360" w:lineRule="auto"/>
        <w:ind w:left="2268"/>
        <w:jc w:val="both"/>
        <w:rPr>
          <w:rFonts w:ascii="Arial" w:hAnsi="Arial" w:cs="Arial"/>
          <w:b/>
          <w:color w:val="auto"/>
          <w:sz w:val="20"/>
          <w:szCs w:val="20"/>
          <w:u w:val="single"/>
        </w:rPr>
      </w:pPr>
      <w:r w:rsidRPr="00A040FF">
        <w:rPr>
          <w:rFonts w:ascii="Arial" w:hAnsi="Arial" w:cs="Arial"/>
          <w:b/>
          <w:bCs/>
          <w:color w:val="auto"/>
          <w:sz w:val="20"/>
          <w:szCs w:val="20"/>
          <w:u w:val="single"/>
        </w:rPr>
        <w:t xml:space="preserve">Art. 40. </w:t>
      </w:r>
      <w:r w:rsidRPr="00A040FF">
        <w:rPr>
          <w:rFonts w:ascii="Arial" w:hAnsi="Arial" w:cs="Arial"/>
          <w:b/>
          <w:color w:val="auto"/>
          <w:sz w:val="20"/>
          <w:szCs w:val="20"/>
          <w:u w:val="single"/>
        </w:rPr>
        <w:t>A dívida de exercícios anteriores reconhecida pelo Titular do Órgão ou da Entidade deverá ser empenhada e liquidada no exercício fiscal em que o ato de reconhecimento for publicado no Diário Oficial do Estado. (Grifo nosso)</w:t>
      </w:r>
    </w:p>
    <w:p w:rsidR="00A27C83" w:rsidRPr="00A040FF" w:rsidRDefault="00A27C83" w:rsidP="00A27C83">
      <w:pPr>
        <w:pStyle w:val="Default"/>
        <w:spacing w:line="360" w:lineRule="auto"/>
        <w:ind w:left="2268"/>
        <w:jc w:val="both"/>
        <w:rPr>
          <w:rFonts w:ascii="Arial" w:hAnsi="Arial" w:cs="Arial"/>
          <w:b/>
          <w:color w:val="auto"/>
          <w:sz w:val="20"/>
          <w:szCs w:val="20"/>
        </w:rPr>
      </w:pPr>
      <w:r w:rsidRPr="00A040FF">
        <w:rPr>
          <w:rFonts w:ascii="Arial" w:hAnsi="Arial" w:cs="Arial"/>
          <w:b/>
          <w:color w:val="auto"/>
          <w:sz w:val="20"/>
          <w:szCs w:val="20"/>
        </w:rPr>
        <w:t xml:space="preserve">§ 1º O ato de reconhecimento de dívida deve ser precedido de solicitação de crédito suplementar para atender à adequada classificação da despesa quando do seu empenho e liquidação no SIAFEM próprio do Estado de Alagoas. </w:t>
      </w:r>
    </w:p>
    <w:p w:rsidR="00A27C83" w:rsidRPr="00A040FF" w:rsidRDefault="00A27C83" w:rsidP="00A27C83">
      <w:pPr>
        <w:pStyle w:val="Default"/>
        <w:spacing w:line="360" w:lineRule="auto"/>
        <w:ind w:left="2268"/>
        <w:jc w:val="both"/>
        <w:rPr>
          <w:rFonts w:ascii="Arial" w:hAnsi="Arial" w:cs="Arial"/>
          <w:b/>
          <w:color w:val="auto"/>
          <w:sz w:val="20"/>
          <w:szCs w:val="20"/>
        </w:rPr>
      </w:pPr>
      <w:r w:rsidRPr="00A040FF">
        <w:rPr>
          <w:rFonts w:ascii="Arial" w:hAnsi="Arial" w:cs="Arial"/>
          <w:b/>
          <w:color w:val="auto"/>
          <w:sz w:val="20"/>
          <w:szCs w:val="20"/>
        </w:rPr>
        <w:t xml:space="preserve">§ 2º O requerimento de solicitação de crédito suplementar será efetuado por processo instruído com as devidas justificativas e </w:t>
      </w:r>
      <w:r w:rsidRPr="00A040FF">
        <w:rPr>
          <w:rFonts w:ascii="Arial" w:hAnsi="Arial" w:cs="Arial"/>
          <w:b/>
          <w:color w:val="auto"/>
          <w:sz w:val="20"/>
          <w:szCs w:val="20"/>
        </w:rPr>
        <w:lastRenderedPageBreak/>
        <w:t xml:space="preserve">encaminhado pelo titular do Órgão ou Entidade para análise da SEPLAG, constando do processo, obrigatoriamente: </w:t>
      </w:r>
    </w:p>
    <w:p w:rsidR="00A27C83" w:rsidRPr="00A040FF" w:rsidRDefault="00A27C83" w:rsidP="00A27C83">
      <w:pPr>
        <w:pStyle w:val="Default"/>
        <w:spacing w:line="360" w:lineRule="auto"/>
        <w:ind w:left="2268"/>
        <w:jc w:val="both"/>
        <w:rPr>
          <w:rFonts w:ascii="Arial" w:hAnsi="Arial" w:cs="Arial"/>
          <w:b/>
          <w:color w:val="auto"/>
          <w:sz w:val="20"/>
          <w:szCs w:val="20"/>
        </w:rPr>
      </w:pPr>
      <w:r w:rsidRPr="00A040FF">
        <w:rPr>
          <w:rFonts w:ascii="Arial" w:hAnsi="Arial" w:cs="Arial"/>
          <w:b/>
          <w:color w:val="auto"/>
          <w:sz w:val="20"/>
          <w:szCs w:val="20"/>
        </w:rPr>
        <w:t xml:space="preserve">I – estimativa do impacto orçamentário-financeiro da dívida a ser reconhecida no exercício de 2015 e posteriores, considerando os limites estabelecidos no presente Decreto e os seus atos legais subsequentes que tratam da programação orçamentária e financeira para o exercício de 2015; </w:t>
      </w:r>
    </w:p>
    <w:p w:rsidR="00A27C83" w:rsidRPr="00A040FF" w:rsidRDefault="00A27C83" w:rsidP="00A27C83">
      <w:pPr>
        <w:pStyle w:val="Default"/>
        <w:spacing w:line="360" w:lineRule="auto"/>
        <w:ind w:left="2268"/>
        <w:jc w:val="both"/>
        <w:rPr>
          <w:rFonts w:ascii="Arial" w:hAnsi="Arial" w:cs="Arial"/>
          <w:b/>
          <w:color w:val="auto"/>
          <w:sz w:val="20"/>
          <w:szCs w:val="20"/>
        </w:rPr>
      </w:pPr>
      <w:r w:rsidRPr="00A040FF">
        <w:rPr>
          <w:rFonts w:ascii="Arial" w:hAnsi="Arial" w:cs="Arial"/>
          <w:b/>
          <w:color w:val="auto"/>
          <w:sz w:val="20"/>
          <w:szCs w:val="20"/>
        </w:rPr>
        <w:t xml:space="preserve">II – declaração do ordenador de despesa de que o reconhecimento da dívida é exequível na execução orçamentária e financeira para o exercício de 2015 e o seu impacto na execução orçamentária e financeira não impedirá ou prejudicará o funcionamento das atividades do Órgão ou da Entidade até o final do exercício sem a necessidade de aumento na dotação disponível; </w:t>
      </w:r>
    </w:p>
    <w:p w:rsidR="00A27C83" w:rsidRPr="00A040FF" w:rsidRDefault="00A27C83" w:rsidP="00A27C83">
      <w:pPr>
        <w:pStyle w:val="Default"/>
        <w:spacing w:line="360" w:lineRule="auto"/>
        <w:ind w:left="2268"/>
        <w:jc w:val="both"/>
        <w:rPr>
          <w:rFonts w:ascii="Arial" w:hAnsi="Arial" w:cs="Arial"/>
          <w:b/>
          <w:color w:val="auto"/>
          <w:sz w:val="20"/>
          <w:szCs w:val="20"/>
        </w:rPr>
      </w:pPr>
      <w:r w:rsidRPr="00A040FF">
        <w:rPr>
          <w:rFonts w:ascii="Arial" w:hAnsi="Arial" w:cs="Arial"/>
          <w:b/>
          <w:color w:val="auto"/>
          <w:sz w:val="20"/>
          <w:szCs w:val="20"/>
        </w:rPr>
        <w:t xml:space="preserve">III – indicação de recursos para compensação, dentre aqueles sob a ordenação do próprio Órgão ou Entidade proponente; </w:t>
      </w:r>
    </w:p>
    <w:p w:rsidR="00A27C83" w:rsidRPr="00A040FF" w:rsidRDefault="00A27C83" w:rsidP="00A27C83">
      <w:pPr>
        <w:pStyle w:val="Default"/>
        <w:spacing w:line="360" w:lineRule="auto"/>
        <w:ind w:left="2268"/>
        <w:jc w:val="both"/>
        <w:rPr>
          <w:rFonts w:ascii="Arial" w:hAnsi="Arial" w:cs="Arial"/>
          <w:b/>
          <w:color w:val="auto"/>
          <w:sz w:val="20"/>
          <w:szCs w:val="20"/>
        </w:rPr>
      </w:pPr>
      <w:r w:rsidRPr="00A040FF">
        <w:rPr>
          <w:rFonts w:ascii="Arial" w:hAnsi="Arial" w:cs="Arial"/>
          <w:b/>
          <w:color w:val="auto"/>
          <w:sz w:val="20"/>
          <w:szCs w:val="20"/>
        </w:rPr>
        <w:t xml:space="preserve">IV – Resultado da sindicância no âmbito do Órgão ou Entidade a que se referir, para a apuração de responsabilidades quanto </w:t>
      </w:r>
      <w:proofErr w:type="gramStart"/>
      <w:r w:rsidRPr="00A040FF">
        <w:rPr>
          <w:rFonts w:ascii="Arial" w:hAnsi="Arial" w:cs="Arial"/>
          <w:b/>
          <w:color w:val="auto"/>
          <w:sz w:val="20"/>
          <w:szCs w:val="20"/>
        </w:rPr>
        <w:t>à</w:t>
      </w:r>
      <w:proofErr w:type="gramEnd"/>
      <w:r w:rsidRPr="00A040FF">
        <w:rPr>
          <w:rFonts w:ascii="Arial" w:hAnsi="Arial" w:cs="Arial"/>
          <w:b/>
          <w:color w:val="auto"/>
          <w:sz w:val="20"/>
          <w:szCs w:val="20"/>
        </w:rPr>
        <w:t xml:space="preserve"> não realização do processo formal de aquisição e de despesa; </w:t>
      </w:r>
    </w:p>
    <w:p w:rsidR="00A27C83" w:rsidRPr="00A040FF" w:rsidRDefault="00A27C83" w:rsidP="00A27C83">
      <w:pPr>
        <w:pStyle w:val="Default"/>
        <w:spacing w:line="360" w:lineRule="auto"/>
        <w:ind w:left="2268"/>
        <w:jc w:val="both"/>
        <w:rPr>
          <w:rFonts w:ascii="Arial" w:hAnsi="Arial" w:cs="Arial"/>
          <w:b/>
          <w:color w:val="auto"/>
          <w:sz w:val="20"/>
          <w:szCs w:val="20"/>
        </w:rPr>
      </w:pPr>
      <w:r w:rsidRPr="00A040FF">
        <w:rPr>
          <w:rFonts w:ascii="Arial" w:hAnsi="Arial" w:cs="Arial"/>
          <w:b/>
          <w:color w:val="auto"/>
          <w:sz w:val="20"/>
          <w:szCs w:val="20"/>
        </w:rPr>
        <w:t xml:space="preserve">V – Parecer da Procuradoria Geral do Estado atestando a legalidade do pagamento da referida despesa; </w:t>
      </w:r>
      <w:proofErr w:type="gramStart"/>
      <w:r w:rsidRPr="00A040FF">
        <w:rPr>
          <w:rFonts w:ascii="Arial" w:hAnsi="Arial" w:cs="Arial"/>
          <w:b/>
          <w:color w:val="auto"/>
          <w:sz w:val="20"/>
          <w:szCs w:val="20"/>
        </w:rPr>
        <w:t>e</w:t>
      </w:r>
      <w:proofErr w:type="gramEnd"/>
      <w:r w:rsidRPr="00A040FF">
        <w:rPr>
          <w:rFonts w:ascii="Arial" w:hAnsi="Arial" w:cs="Arial"/>
          <w:b/>
          <w:color w:val="auto"/>
          <w:sz w:val="20"/>
          <w:szCs w:val="20"/>
        </w:rPr>
        <w:t xml:space="preserve"> </w:t>
      </w:r>
    </w:p>
    <w:p w:rsidR="00A27C83" w:rsidRPr="00A040FF" w:rsidRDefault="00A27C83" w:rsidP="00A27C83">
      <w:pPr>
        <w:pStyle w:val="Default"/>
        <w:spacing w:line="360" w:lineRule="auto"/>
        <w:ind w:left="2268"/>
        <w:jc w:val="both"/>
        <w:rPr>
          <w:rFonts w:ascii="Arial" w:hAnsi="Arial" w:cs="Arial"/>
          <w:b/>
          <w:color w:val="auto"/>
          <w:sz w:val="20"/>
          <w:szCs w:val="20"/>
          <w:u w:val="single"/>
        </w:rPr>
      </w:pPr>
      <w:r w:rsidRPr="00A040FF">
        <w:rPr>
          <w:rFonts w:ascii="Arial" w:hAnsi="Arial" w:cs="Arial"/>
          <w:b/>
          <w:color w:val="auto"/>
          <w:sz w:val="20"/>
          <w:szCs w:val="20"/>
          <w:u w:val="single"/>
        </w:rPr>
        <w:t>VI – A análise final e parecer contábil conclusivo da Controladoria Geral do Estado - CGE pela procedência ou não do débito. (Grifo nosso)</w:t>
      </w:r>
    </w:p>
    <w:p w:rsidR="00A27C83" w:rsidRPr="00A040FF" w:rsidRDefault="00A27C83" w:rsidP="00A27C83">
      <w:pPr>
        <w:pStyle w:val="Default"/>
        <w:spacing w:line="360" w:lineRule="auto"/>
        <w:ind w:left="2268"/>
        <w:jc w:val="both"/>
        <w:rPr>
          <w:rFonts w:ascii="Arial" w:hAnsi="Arial" w:cs="Arial"/>
          <w:b/>
          <w:color w:val="auto"/>
          <w:sz w:val="20"/>
          <w:szCs w:val="20"/>
        </w:rPr>
      </w:pPr>
      <w:r w:rsidRPr="00A040FF">
        <w:rPr>
          <w:rFonts w:ascii="Arial" w:hAnsi="Arial" w:cs="Arial"/>
          <w:b/>
          <w:color w:val="auto"/>
          <w:sz w:val="20"/>
          <w:szCs w:val="20"/>
        </w:rPr>
        <w:t xml:space="preserve">§ 3º Comprovada a existência de irregularidade pela sindicância instaurada, deverá o procedimento administrativo ser remetido à Comissão Permanente de Inquérito Administrativo, na SEPLAG, para a instauração de processo administrativo disciplinar. </w:t>
      </w:r>
    </w:p>
    <w:p w:rsidR="00A27C83" w:rsidRPr="00A040FF" w:rsidRDefault="00A27C83" w:rsidP="00A27C83">
      <w:pPr>
        <w:spacing w:line="360" w:lineRule="auto"/>
        <w:ind w:left="2268"/>
        <w:jc w:val="both"/>
        <w:rPr>
          <w:rFonts w:ascii="Arial" w:hAnsi="Arial" w:cs="Arial"/>
          <w:b/>
          <w:sz w:val="20"/>
          <w:szCs w:val="20"/>
          <w:lang w:val="pt-BR"/>
        </w:rPr>
      </w:pPr>
      <w:r w:rsidRPr="00A040FF">
        <w:rPr>
          <w:rFonts w:ascii="Arial" w:hAnsi="Arial" w:cs="Arial"/>
          <w:b/>
          <w:sz w:val="20"/>
          <w:szCs w:val="20"/>
          <w:lang w:val="pt-BR"/>
        </w:rPr>
        <w:t xml:space="preserve">§ 4º Apenas após o parecer favorável da SEPLAG, Procuradoria Geral do Estado - PGE e da Controladoria Geral do Estado - CGE os Órgãos ou Entidades do Poder Executivo estarão autorizados a reconhecer as dívidas do exercício anterior, providenciando a indicação da execução da despesa com competência no exercício de 2015 ou anterior, acompanhada do reconhecimento de dívida pelo titular do órgão, publicado no Diário Oficial do Estado, devendo constar da declaração do titular do Órgão </w:t>
      </w:r>
      <w:proofErr w:type="gramStart"/>
      <w:r w:rsidRPr="00A040FF">
        <w:rPr>
          <w:rFonts w:ascii="Arial" w:hAnsi="Arial" w:cs="Arial"/>
          <w:b/>
          <w:sz w:val="20"/>
          <w:szCs w:val="20"/>
          <w:lang w:val="pt-BR"/>
        </w:rPr>
        <w:t>a</w:t>
      </w:r>
      <w:proofErr w:type="gramEnd"/>
      <w:r w:rsidRPr="00A040FF">
        <w:rPr>
          <w:rFonts w:ascii="Arial" w:hAnsi="Arial" w:cs="Arial"/>
          <w:b/>
          <w:sz w:val="20"/>
          <w:szCs w:val="20"/>
          <w:lang w:val="pt-BR"/>
        </w:rPr>
        <w:t xml:space="preserve"> caracterização da despesa como de natureza continuada ou eventual.</w:t>
      </w:r>
    </w:p>
    <w:p w:rsidR="002916EE" w:rsidRPr="00A040FF" w:rsidRDefault="005D381C" w:rsidP="00A27C83">
      <w:pPr>
        <w:spacing w:line="360" w:lineRule="auto"/>
        <w:ind w:firstLine="708"/>
        <w:jc w:val="both"/>
        <w:rPr>
          <w:rFonts w:ascii="Arial" w:hAnsi="Arial" w:cs="Arial"/>
          <w:sz w:val="22"/>
          <w:szCs w:val="22"/>
          <w:lang w:val="pt-BR"/>
        </w:rPr>
      </w:pPr>
      <w:r w:rsidRPr="00A040FF">
        <w:rPr>
          <w:rFonts w:ascii="Arial" w:hAnsi="Arial" w:cs="Arial"/>
          <w:sz w:val="22"/>
          <w:szCs w:val="22"/>
          <w:lang w:val="pt-BR"/>
        </w:rPr>
        <w:lastRenderedPageBreak/>
        <w:t>Dess</w:t>
      </w:r>
      <w:r w:rsidR="002916EE" w:rsidRPr="00A040FF">
        <w:rPr>
          <w:rFonts w:ascii="Arial" w:hAnsi="Arial" w:cs="Arial"/>
          <w:sz w:val="22"/>
          <w:szCs w:val="22"/>
          <w:lang w:val="pt-BR"/>
        </w:rPr>
        <w:t xml:space="preserve">a forma, em análise prévia, esta Superintendência de Auditagem identificou mais de 4.000 (quatro mil) processos de </w:t>
      </w:r>
      <w:r w:rsidR="002916EE" w:rsidRPr="002C69ED">
        <w:rPr>
          <w:rFonts w:ascii="Arial" w:hAnsi="Arial" w:cs="Arial"/>
          <w:b/>
          <w:sz w:val="22"/>
          <w:szCs w:val="22"/>
          <w:lang w:val="pt-BR"/>
        </w:rPr>
        <w:t>Despesas de Exercícios Anteriores</w:t>
      </w:r>
      <w:r w:rsidR="002916EE" w:rsidRPr="00A040FF">
        <w:rPr>
          <w:rFonts w:ascii="Arial" w:hAnsi="Arial" w:cs="Arial"/>
          <w:sz w:val="22"/>
          <w:szCs w:val="22"/>
          <w:lang w:val="pt-BR"/>
        </w:rPr>
        <w:t xml:space="preserve"> para serem analisados </w:t>
      </w:r>
      <w:r w:rsidR="002C69ED">
        <w:rPr>
          <w:rFonts w:ascii="Arial" w:hAnsi="Arial" w:cs="Arial"/>
          <w:sz w:val="22"/>
          <w:szCs w:val="22"/>
          <w:lang w:val="pt-BR"/>
        </w:rPr>
        <w:t>no âmbito d</w:t>
      </w:r>
      <w:r w:rsidRPr="00A040FF">
        <w:rPr>
          <w:rFonts w:ascii="Arial" w:hAnsi="Arial" w:cs="Arial"/>
          <w:sz w:val="22"/>
          <w:szCs w:val="22"/>
          <w:lang w:val="pt-BR"/>
        </w:rPr>
        <w:t>a Secretaria de Estado da Saúde – SESAU</w:t>
      </w:r>
      <w:r w:rsidR="002C69ED">
        <w:rPr>
          <w:rFonts w:ascii="Arial" w:hAnsi="Arial" w:cs="Arial"/>
          <w:sz w:val="22"/>
          <w:szCs w:val="22"/>
          <w:lang w:val="pt-BR"/>
        </w:rPr>
        <w:t xml:space="preserve">, para emissão de Parecer Contábil Conclusivo, conforme Decreto 39.456/2015. </w:t>
      </w:r>
      <w:r w:rsidRPr="00A040FF">
        <w:rPr>
          <w:rFonts w:ascii="Arial" w:hAnsi="Arial" w:cs="Arial"/>
          <w:sz w:val="22"/>
          <w:szCs w:val="22"/>
          <w:lang w:val="pt-BR"/>
        </w:rPr>
        <w:t xml:space="preserve"> </w:t>
      </w:r>
      <w:r w:rsidR="002C69ED">
        <w:rPr>
          <w:rFonts w:ascii="Arial" w:hAnsi="Arial" w:cs="Arial"/>
          <w:sz w:val="22"/>
          <w:szCs w:val="22"/>
          <w:lang w:val="pt-BR"/>
        </w:rPr>
        <w:t>D</w:t>
      </w:r>
      <w:r w:rsidR="002916EE" w:rsidRPr="00A040FF">
        <w:rPr>
          <w:rFonts w:ascii="Arial" w:hAnsi="Arial" w:cs="Arial"/>
          <w:sz w:val="22"/>
          <w:szCs w:val="22"/>
          <w:lang w:val="pt-BR"/>
        </w:rPr>
        <w:t xml:space="preserve">iante do volume </w:t>
      </w:r>
      <w:r w:rsidR="002C69ED">
        <w:rPr>
          <w:rFonts w:ascii="Arial" w:hAnsi="Arial" w:cs="Arial"/>
          <w:sz w:val="22"/>
          <w:szCs w:val="22"/>
          <w:lang w:val="pt-BR"/>
        </w:rPr>
        <w:t>de processos</w:t>
      </w:r>
      <w:r w:rsidR="002916EE" w:rsidRPr="00A040FF">
        <w:rPr>
          <w:rFonts w:ascii="Arial" w:hAnsi="Arial" w:cs="Arial"/>
          <w:sz w:val="22"/>
          <w:szCs w:val="22"/>
          <w:lang w:val="pt-BR"/>
        </w:rPr>
        <w:t xml:space="preserve">, indicou </w:t>
      </w:r>
      <w:r w:rsidR="002C69ED">
        <w:rPr>
          <w:rFonts w:ascii="Arial" w:hAnsi="Arial" w:cs="Arial"/>
          <w:sz w:val="22"/>
          <w:szCs w:val="22"/>
          <w:lang w:val="pt-BR"/>
        </w:rPr>
        <w:t xml:space="preserve">uma </w:t>
      </w:r>
      <w:r w:rsidR="002916EE" w:rsidRPr="00A040FF">
        <w:rPr>
          <w:rFonts w:ascii="Arial" w:hAnsi="Arial" w:cs="Arial"/>
          <w:sz w:val="22"/>
          <w:szCs w:val="22"/>
          <w:lang w:val="pt-BR"/>
        </w:rPr>
        <w:t xml:space="preserve">equipe composta por 08 (oito) </w:t>
      </w:r>
      <w:r w:rsidR="002C69ED">
        <w:rPr>
          <w:rFonts w:ascii="Arial" w:hAnsi="Arial" w:cs="Arial"/>
          <w:sz w:val="22"/>
          <w:szCs w:val="22"/>
          <w:lang w:val="pt-BR"/>
        </w:rPr>
        <w:t xml:space="preserve">Assessores </w:t>
      </w:r>
      <w:r w:rsidR="002916EE" w:rsidRPr="00A040FF">
        <w:rPr>
          <w:rFonts w:ascii="Arial" w:hAnsi="Arial" w:cs="Arial"/>
          <w:sz w:val="22"/>
          <w:szCs w:val="22"/>
          <w:lang w:val="pt-BR"/>
        </w:rPr>
        <w:t xml:space="preserve">Técnicos de Controle para proceder à análise </w:t>
      </w:r>
      <w:r w:rsidR="002C69ED">
        <w:rPr>
          <w:rFonts w:ascii="Arial" w:hAnsi="Arial" w:cs="Arial"/>
          <w:sz w:val="22"/>
          <w:szCs w:val="22"/>
          <w:lang w:val="pt-BR"/>
        </w:rPr>
        <w:t xml:space="preserve">dos processos administrativos </w:t>
      </w:r>
      <w:r w:rsidR="002916EE" w:rsidRPr="00A040FF">
        <w:rPr>
          <w:rFonts w:ascii="Arial" w:hAnsi="Arial" w:cs="Arial"/>
          <w:b/>
          <w:i/>
          <w:sz w:val="22"/>
          <w:szCs w:val="22"/>
          <w:lang w:val="pt-BR"/>
        </w:rPr>
        <w:t>“In Loco”</w:t>
      </w:r>
      <w:r w:rsidR="002916EE" w:rsidRPr="00A040FF">
        <w:rPr>
          <w:rFonts w:ascii="Arial" w:hAnsi="Arial" w:cs="Arial"/>
          <w:sz w:val="22"/>
          <w:szCs w:val="22"/>
          <w:lang w:val="pt-BR"/>
        </w:rPr>
        <w:t xml:space="preserve">. </w:t>
      </w:r>
      <w:r w:rsidR="002C69ED">
        <w:rPr>
          <w:rFonts w:ascii="Arial" w:hAnsi="Arial" w:cs="Arial"/>
          <w:sz w:val="22"/>
          <w:szCs w:val="22"/>
          <w:lang w:val="pt-BR"/>
        </w:rPr>
        <w:t>N</w:t>
      </w:r>
      <w:r w:rsidR="002C69ED" w:rsidRPr="00A040FF">
        <w:rPr>
          <w:rFonts w:ascii="Arial" w:hAnsi="Arial" w:cs="Arial"/>
          <w:sz w:val="22"/>
          <w:szCs w:val="22"/>
          <w:lang w:val="pt-BR"/>
        </w:rPr>
        <w:t>a medida em que</w:t>
      </w:r>
      <w:r w:rsidR="002916EE" w:rsidRPr="00A040FF">
        <w:rPr>
          <w:rFonts w:ascii="Arial" w:hAnsi="Arial" w:cs="Arial"/>
          <w:sz w:val="22"/>
          <w:szCs w:val="22"/>
          <w:lang w:val="pt-BR"/>
        </w:rPr>
        <w:t xml:space="preserve"> os processos foram sendo analisados, a equipe emitiu os Pareceres </w:t>
      </w:r>
      <w:r w:rsidR="002C69ED">
        <w:rPr>
          <w:rFonts w:ascii="Arial" w:hAnsi="Arial" w:cs="Arial"/>
          <w:sz w:val="22"/>
          <w:szCs w:val="22"/>
          <w:lang w:val="pt-BR"/>
        </w:rPr>
        <w:t xml:space="preserve">Contábeis </w:t>
      </w:r>
      <w:r w:rsidR="002916EE" w:rsidRPr="00A040FF">
        <w:rPr>
          <w:rFonts w:ascii="Arial" w:hAnsi="Arial" w:cs="Arial"/>
          <w:sz w:val="22"/>
          <w:szCs w:val="22"/>
          <w:lang w:val="pt-BR"/>
        </w:rPr>
        <w:t xml:space="preserve">Conclusivos determinados pelo Decreto </w:t>
      </w:r>
      <w:r w:rsidR="00DD177F" w:rsidRPr="00A040FF">
        <w:rPr>
          <w:rFonts w:ascii="Arial" w:hAnsi="Arial" w:cs="Arial"/>
          <w:sz w:val="22"/>
          <w:szCs w:val="22"/>
          <w:lang w:val="pt-BR"/>
        </w:rPr>
        <w:t xml:space="preserve">nº </w:t>
      </w:r>
      <w:r w:rsidR="002916EE" w:rsidRPr="00A040FF">
        <w:rPr>
          <w:rFonts w:ascii="Arial" w:hAnsi="Arial" w:cs="Arial"/>
          <w:sz w:val="22"/>
          <w:szCs w:val="22"/>
          <w:lang w:val="pt-BR"/>
        </w:rPr>
        <w:t>39.456/2015, como segue:</w:t>
      </w:r>
    </w:p>
    <w:tbl>
      <w:tblPr>
        <w:tblStyle w:val="Tabelacomgrade"/>
        <w:tblW w:w="0" w:type="auto"/>
        <w:jc w:val="center"/>
        <w:tblInd w:w="1755" w:type="dxa"/>
        <w:tblLook w:val="04A0"/>
      </w:tblPr>
      <w:tblGrid>
        <w:gridCol w:w="3402"/>
        <w:gridCol w:w="4054"/>
      </w:tblGrid>
      <w:tr w:rsidR="002916EE" w:rsidRPr="00A040FF" w:rsidTr="002C69ED">
        <w:trPr>
          <w:jc w:val="center"/>
        </w:trPr>
        <w:tc>
          <w:tcPr>
            <w:tcW w:w="3402" w:type="dxa"/>
            <w:shd w:val="clear" w:color="auto" w:fill="D9D9D9" w:themeFill="background1" w:themeFillShade="D9"/>
            <w:vAlign w:val="center"/>
          </w:tcPr>
          <w:p w:rsidR="002916EE" w:rsidRPr="00A040FF" w:rsidRDefault="002916EE" w:rsidP="005C37C5">
            <w:pPr>
              <w:jc w:val="center"/>
              <w:rPr>
                <w:rFonts w:ascii="Arial" w:hAnsi="Arial" w:cs="Arial"/>
                <w:b/>
                <w:sz w:val="22"/>
                <w:szCs w:val="22"/>
                <w:lang w:val="pt-BR"/>
              </w:rPr>
            </w:pPr>
            <w:r w:rsidRPr="00A040FF">
              <w:rPr>
                <w:rFonts w:ascii="Arial" w:hAnsi="Arial" w:cs="Arial"/>
                <w:b/>
                <w:sz w:val="22"/>
                <w:szCs w:val="22"/>
                <w:lang w:val="pt-BR"/>
              </w:rPr>
              <w:t>ITEM</w:t>
            </w:r>
          </w:p>
        </w:tc>
        <w:tc>
          <w:tcPr>
            <w:tcW w:w="4054" w:type="dxa"/>
            <w:shd w:val="clear" w:color="auto" w:fill="D9D9D9" w:themeFill="background1" w:themeFillShade="D9"/>
            <w:vAlign w:val="center"/>
          </w:tcPr>
          <w:p w:rsidR="002916EE" w:rsidRPr="00A040FF" w:rsidRDefault="002916EE" w:rsidP="005C37C5">
            <w:pPr>
              <w:jc w:val="center"/>
              <w:rPr>
                <w:rFonts w:ascii="Arial" w:hAnsi="Arial" w:cs="Arial"/>
                <w:b/>
                <w:sz w:val="22"/>
                <w:szCs w:val="22"/>
                <w:lang w:val="pt-BR"/>
              </w:rPr>
            </w:pPr>
            <w:proofErr w:type="gramStart"/>
            <w:r w:rsidRPr="00A040FF">
              <w:rPr>
                <w:rFonts w:ascii="Arial" w:hAnsi="Arial" w:cs="Arial"/>
                <w:b/>
                <w:sz w:val="22"/>
                <w:szCs w:val="22"/>
                <w:lang w:val="pt-BR"/>
              </w:rPr>
              <w:t>TOTAL PROCESSOS</w:t>
            </w:r>
            <w:proofErr w:type="gramEnd"/>
            <w:r w:rsidRPr="00A040FF">
              <w:rPr>
                <w:rFonts w:ascii="Arial" w:hAnsi="Arial" w:cs="Arial"/>
                <w:b/>
                <w:sz w:val="22"/>
                <w:szCs w:val="22"/>
                <w:lang w:val="pt-BR"/>
              </w:rPr>
              <w:t xml:space="preserve"> ANALISADOS</w:t>
            </w:r>
          </w:p>
        </w:tc>
      </w:tr>
      <w:tr w:rsidR="002916EE" w:rsidRPr="00A040FF" w:rsidTr="002C69ED">
        <w:trPr>
          <w:jc w:val="center"/>
        </w:trPr>
        <w:tc>
          <w:tcPr>
            <w:tcW w:w="3402" w:type="dxa"/>
          </w:tcPr>
          <w:p w:rsidR="002916EE" w:rsidRPr="00A040FF" w:rsidRDefault="002916EE" w:rsidP="002916EE">
            <w:pPr>
              <w:jc w:val="both"/>
              <w:rPr>
                <w:rFonts w:ascii="Arial" w:hAnsi="Arial" w:cs="Arial"/>
                <w:sz w:val="22"/>
                <w:szCs w:val="22"/>
                <w:lang w:val="pt-BR"/>
              </w:rPr>
            </w:pPr>
            <w:r w:rsidRPr="00A040FF">
              <w:rPr>
                <w:rFonts w:ascii="Arial" w:hAnsi="Arial" w:cs="Arial"/>
                <w:sz w:val="22"/>
                <w:szCs w:val="22"/>
                <w:lang w:val="pt-BR"/>
              </w:rPr>
              <w:t>Parecer Conclusivo 01</w:t>
            </w:r>
          </w:p>
        </w:tc>
        <w:tc>
          <w:tcPr>
            <w:tcW w:w="4054" w:type="dxa"/>
          </w:tcPr>
          <w:p w:rsidR="002916EE" w:rsidRPr="00A040FF" w:rsidRDefault="002916EE" w:rsidP="002916EE">
            <w:pPr>
              <w:jc w:val="center"/>
              <w:rPr>
                <w:rFonts w:ascii="Arial" w:hAnsi="Arial" w:cs="Arial"/>
                <w:sz w:val="22"/>
                <w:szCs w:val="22"/>
                <w:lang w:val="pt-BR"/>
              </w:rPr>
            </w:pPr>
            <w:r w:rsidRPr="00A040FF">
              <w:rPr>
                <w:rFonts w:ascii="Arial" w:hAnsi="Arial" w:cs="Arial"/>
                <w:sz w:val="22"/>
                <w:szCs w:val="22"/>
                <w:lang w:val="pt-BR"/>
              </w:rPr>
              <w:t>1077</w:t>
            </w:r>
          </w:p>
        </w:tc>
      </w:tr>
      <w:tr w:rsidR="002916EE" w:rsidRPr="00A040FF" w:rsidTr="002C69ED">
        <w:trPr>
          <w:jc w:val="center"/>
        </w:trPr>
        <w:tc>
          <w:tcPr>
            <w:tcW w:w="3402" w:type="dxa"/>
          </w:tcPr>
          <w:p w:rsidR="002916EE" w:rsidRPr="00A040FF" w:rsidRDefault="002916EE" w:rsidP="002916EE">
            <w:pPr>
              <w:jc w:val="both"/>
              <w:rPr>
                <w:rFonts w:ascii="Arial" w:hAnsi="Arial" w:cs="Arial"/>
                <w:sz w:val="22"/>
                <w:szCs w:val="22"/>
                <w:lang w:val="pt-BR"/>
              </w:rPr>
            </w:pPr>
            <w:r w:rsidRPr="00A040FF">
              <w:rPr>
                <w:rFonts w:ascii="Arial" w:hAnsi="Arial" w:cs="Arial"/>
                <w:sz w:val="22"/>
                <w:szCs w:val="22"/>
                <w:lang w:val="pt-BR"/>
              </w:rPr>
              <w:t xml:space="preserve">Parecer </w:t>
            </w:r>
            <w:proofErr w:type="gramStart"/>
            <w:r w:rsidRPr="00A040FF">
              <w:rPr>
                <w:rFonts w:ascii="Arial" w:hAnsi="Arial" w:cs="Arial"/>
                <w:sz w:val="22"/>
                <w:szCs w:val="22"/>
                <w:lang w:val="pt-BR"/>
              </w:rPr>
              <w:t>Conclusivo 02</w:t>
            </w:r>
            <w:proofErr w:type="gramEnd"/>
          </w:p>
        </w:tc>
        <w:tc>
          <w:tcPr>
            <w:tcW w:w="4054" w:type="dxa"/>
          </w:tcPr>
          <w:p w:rsidR="002916EE" w:rsidRPr="00A040FF" w:rsidRDefault="002916EE" w:rsidP="002916EE">
            <w:pPr>
              <w:jc w:val="center"/>
              <w:rPr>
                <w:rFonts w:ascii="Arial" w:hAnsi="Arial" w:cs="Arial"/>
                <w:sz w:val="22"/>
                <w:szCs w:val="22"/>
                <w:lang w:val="pt-BR"/>
              </w:rPr>
            </w:pPr>
            <w:r w:rsidRPr="00A040FF">
              <w:rPr>
                <w:rFonts w:ascii="Arial" w:hAnsi="Arial" w:cs="Arial"/>
                <w:sz w:val="22"/>
                <w:szCs w:val="22"/>
                <w:lang w:val="pt-BR"/>
              </w:rPr>
              <w:t>1845</w:t>
            </w:r>
          </w:p>
        </w:tc>
      </w:tr>
      <w:tr w:rsidR="00DD177F" w:rsidRPr="00A040FF" w:rsidTr="002C69ED">
        <w:trPr>
          <w:jc w:val="center"/>
        </w:trPr>
        <w:tc>
          <w:tcPr>
            <w:tcW w:w="3402" w:type="dxa"/>
          </w:tcPr>
          <w:p w:rsidR="00DD177F" w:rsidRPr="00A040FF" w:rsidRDefault="00DD177F" w:rsidP="00DD177F">
            <w:pPr>
              <w:jc w:val="both"/>
              <w:rPr>
                <w:rFonts w:ascii="Arial" w:hAnsi="Arial" w:cs="Arial"/>
                <w:sz w:val="22"/>
                <w:szCs w:val="22"/>
                <w:lang w:val="pt-BR"/>
              </w:rPr>
            </w:pPr>
            <w:r w:rsidRPr="00A040FF">
              <w:rPr>
                <w:rFonts w:ascii="Arial" w:hAnsi="Arial" w:cs="Arial"/>
                <w:sz w:val="22"/>
                <w:szCs w:val="22"/>
                <w:lang w:val="pt-BR"/>
              </w:rPr>
              <w:t xml:space="preserve">Parecer </w:t>
            </w:r>
            <w:proofErr w:type="gramStart"/>
            <w:r w:rsidRPr="00A040FF">
              <w:rPr>
                <w:rFonts w:ascii="Arial" w:hAnsi="Arial" w:cs="Arial"/>
                <w:sz w:val="22"/>
                <w:szCs w:val="22"/>
                <w:lang w:val="pt-BR"/>
              </w:rPr>
              <w:t>Conclusivo 03</w:t>
            </w:r>
            <w:proofErr w:type="gramEnd"/>
          </w:p>
        </w:tc>
        <w:tc>
          <w:tcPr>
            <w:tcW w:w="4054" w:type="dxa"/>
          </w:tcPr>
          <w:p w:rsidR="00DD177F" w:rsidRPr="00A040FF" w:rsidRDefault="00DD177F" w:rsidP="002916EE">
            <w:pPr>
              <w:jc w:val="center"/>
              <w:rPr>
                <w:rFonts w:ascii="Arial" w:hAnsi="Arial" w:cs="Arial"/>
                <w:sz w:val="22"/>
                <w:szCs w:val="22"/>
                <w:lang w:val="pt-BR"/>
              </w:rPr>
            </w:pPr>
            <w:r w:rsidRPr="00A040FF">
              <w:rPr>
                <w:rFonts w:ascii="Arial" w:hAnsi="Arial" w:cs="Arial"/>
                <w:sz w:val="22"/>
                <w:szCs w:val="22"/>
                <w:lang w:val="pt-BR"/>
              </w:rPr>
              <w:t>192</w:t>
            </w:r>
          </w:p>
        </w:tc>
      </w:tr>
      <w:tr w:rsidR="00DD177F" w:rsidRPr="00A040FF" w:rsidTr="002C69ED">
        <w:trPr>
          <w:jc w:val="center"/>
        </w:trPr>
        <w:tc>
          <w:tcPr>
            <w:tcW w:w="3402" w:type="dxa"/>
          </w:tcPr>
          <w:p w:rsidR="00DD177F" w:rsidRPr="00A040FF" w:rsidRDefault="00DD177F" w:rsidP="00DD177F">
            <w:pPr>
              <w:jc w:val="both"/>
              <w:rPr>
                <w:rFonts w:ascii="Arial" w:hAnsi="Arial" w:cs="Arial"/>
                <w:sz w:val="22"/>
                <w:szCs w:val="22"/>
                <w:lang w:val="pt-BR"/>
              </w:rPr>
            </w:pPr>
            <w:r w:rsidRPr="00A040FF">
              <w:rPr>
                <w:rFonts w:ascii="Arial" w:hAnsi="Arial" w:cs="Arial"/>
                <w:sz w:val="22"/>
                <w:szCs w:val="22"/>
                <w:lang w:val="pt-BR"/>
              </w:rPr>
              <w:t xml:space="preserve">Parecer </w:t>
            </w:r>
            <w:proofErr w:type="gramStart"/>
            <w:r w:rsidRPr="00A040FF">
              <w:rPr>
                <w:rFonts w:ascii="Arial" w:hAnsi="Arial" w:cs="Arial"/>
                <w:sz w:val="22"/>
                <w:szCs w:val="22"/>
                <w:lang w:val="pt-BR"/>
              </w:rPr>
              <w:t>Conclusivo 04</w:t>
            </w:r>
            <w:proofErr w:type="gramEnd"/>
          </w:p>
        </w:tc>
        <w:tc>
          <w:tcPr>
            <w:tcW w:w="4054" w:type="dxa"/>
          </w:tcPr>
          <w:p w:rsidR="00DD177F" w:rsidRPr="00A040FF" w:rsidRDefault="00DD177F" w:rsidP="002916EE">
            <w:pPr>
              <w:jc w:val="center"/>
              <w:rPr>
                <w:rFonts w:ascii="Arial" w:hAnsi="Arial" w:cs="Arial"/>
                <w:sz w:val="22"/>
                <w:szCs w:val="22"/>
                <w:lang w:val="pt-BR"/>
              </w:rPr>
            </w:pPr>
            <w:r w:rsidRPr="00A040FF">
              <w:rPr>
                <w:rFonts w:ascii="Arial" w:hAnsi="Arial" w:cs="Arial"/>
                <w:sz w:val="22"/>
                <w:szCs w:val="22"/>
                <w:lang w:val="pt-BR"/>
              </w:rPr>
              <w:t>706</w:t>
            </w:r>
          </w:p>
        </w:tc>
      </w:tr>
      <w:tr w:rsidR="00DD177F" w:rsidRPr="00A040FF" w:rsidTr="002C69ED">
        <w:trPr>
          <w:jc w:val="center"/>
        </w:trPr>
        <w:tc>
          <w:tcPr>
            <w:tcW w:w="3402" w:type="dxa"/>
            <w:shd w:val="clear" w:color="auto" w:fill="D9D9D9" w:themeFill="background1" w:themeFillShade="D9"/>
          </w:tcPr>
          <w:p w:rsidR="00DD177F" w:rsidRPr="00A040FF" w:rsidRDefault="00DD177F" w:rsidP="002916EE">
            <w:pPr>
              <w:jc w:val="both"/>
              <w:rPr>
                <w:rFonts w:ascii="Arial" w:hAnsi="Arial" w:cs="Arial"/>
                <w:b/>
                <w:sz w:val="22"/>
                <w:szCs w:val="22"/>
                <w:lang w:val="pt-BR"/>
              </w:rPr>
            </w:pPr>
            <w:r w:rsidRPr="00A040FF">
              <w:rPr>
                <w:rFonts w:ascii="Arial" w:hAnsi="Arial" w:cs="Arial"/>
                <w:b/>
                <w:sz w:val="22"/>
                <w:szCs w:val="22"/>
                <w:lang w:val="pt-BR"/>
              </w:rPr>
              <w:t>TOTAL</w:t>
            </w:r>
          </w:p>
        </w:tc>
        <w:tc>
          <w:tcPr>
            <w:tcW w:w="4054" w:type="dxa"/>
            <w:shd w:val="clear" w:color="auto" w:fill="D9D9D9" w:themeFill="background1" w:themeFillShade="D9"/>
          </w:tcPr>
          <w:p w:rsidR="00DD177F" w:rsidRPr="00A040FF" w:rsidRDefault="00DD177F" w:rsidP="002916EE">
            <w:pPr>
              <w:jc w:val="center"/>
              <w:rPr>
                <w:rFonts w:ascii="Arial" w:hAnsi="Arial" w:cs="Arial"/>
                <w:b/>
                <w:sz w:val="22"/>
                <w:szCs w:val="22"/>
                <w:lang w:val="pt-BR"/>
              </w:rPr>
            </w:pPr>
            <w:r w:rsidRPr="00A040FF">
              <w:rPr>
                <w:rFonts w:ascii="Arial" w:hAnsi="Arial" w:cs="Arial"/>
                <w:b/>
                <w:sz w:val="22"/>
                <w:szCs w:val="22"/>
                <w:lang w:val="pt-BR"/>
              </w:rPr>
              <w:t>4.012</w:t>
            </w:r>
          </w:p>
        </w:tc>
      </w:tr>
    </w:tbl>
    <w:p w:rsidR="002916EE" w:rsidRPr="00A040FF" w:rsidRDefault="002916EE" w:rsidP="00A27C83">
      <w:pPr>
        <w:spacing w:line="360" w:lineRule="auto"/>
        <w:ind w:firstLine="708"/>
        <w:jc w:val="both"/>
        <w:rPr>
          <w:rFonts w:ascii="Arial" w:hAnsi="Arial" w:cs="Arial"/>
          <w:sz w:val="22"/>
          <w:szCs w:val="22"/>
          <w:lang w:val="pt-BR"/>
        </w:rPr>
      </w:pPr>
    </w:p>
    <w:p w:rsidR="00F420EA" w:rsidRPr="00A040FF" w:rsidRDefault="00DD177F" w:rsidP="00A27C83">
      <w:pPr>
        <w:spacing w:line="360" w:lineRule="auto"/>
        <w:ind w:firstLine="708"/>
        <w:jc w:val="both"/>
        <w:rPr>
          <w:rFonts w:ascii="Arial" w:hAnsi="Arial" w:cs="Arial"/>
          <w:sz w:val="22"/>
          <w:szCs w:val="22"/>
          <w:lang w:val="pt-BR"/>
        </w:rPr>
      </w:pPr>
      <w:r w:rsidRPr="00A040FF">
        <w:rPr>
          <w:rFonts w:ascii="Arial" w:hAnsi="Arial" w:cs="Arial"/>
          <w:sz w:val="22"/>
          <w:szCs w:val="22"/>
          <w:lang w:val="pt-BR"/>
        </w:rPr>
        <w:t xml:space="preserve">Os trabalhos iniciaram </w:t>
      </w:r>
      <w:r w:rsidR="00D44ADA">
        <w:rPr>
          <w:rFonts w:ascii="Arial" w:hAnsi="Arial" w:cs="Arial"/>
          <w:sz w:val="22"/>
          <w:szCs w:val="22"/>
          <w:lang w:val="pt-BR"/>
        </w:rPr>
        <w:t xml:space="preserve">na SESAU </w:t>
      </w:r>
      <w:r w:rsidRPr="00A040FF">
        <w:rPr>
          <w:rFonts w:ascii="Arial" w:hAnsi="Arial" w:cs="Arial"/>
          <w:sz w:val="22"/>
          <w:szCs w:val="22"/>
          <w:lang w:val="pt-BR"/>
        </w:rPr>
        <w:t xml:space="preserve">em 02 de março de 2015, tendo encerrado </w:t>
      </w:r>
      <w:r w:rsidR="00D44ADA" w:rsidRPr="00D44ADA">
        <w:rPr>
          <w:rFonts w:ascii="Arial" w:hAnsi="Arial" w:cs="Arial"/>
          <w:b/>
          <w:i/>
          <w:sz w:val="22"/>
          <w:szCs w:val="22"/>
          <w:lang w:val="pt-BR"/>
        </w:rPr>
        <w:t xml:space="preserve">In Loco </w:t>
      </w:r>
      <w:r w:rsidRPr="00A040FF">
        <w:rPr>
          <w:rFonts w:ascii="Arial" w:hAnsi="Arial" w:cs="Arial"/>
          <w:sz w:val="22"/>
          <w:szCs w:val="22"/>
          <w:lang w:val="pt-BR"/>
        </w:rPr>
        <w:t xml:space="preserve">no final de maio de 2015. A partir daí, os processos </w:t>
      </w:r>
      <w:r w:rsidR="00D44ADA">
        <w:rPr>
          <w:rFonts w:ascii="Arial" w:hAnsi="Arial" w:cs="Arial"/>
          <w:sz w:val="22"/>
          <w:szCs w:val="22"/>
          <w:lang w:val="pt-BR"/>
        </w:rPr>
        <w:t xml:space="preserve">foram </w:t>
      </w:r>
      <w:r w:rsidRPr="00A040FF">
        <w:rPr>
          <w:rFonts w:ascii="Arial" w:hAnsi="Arial" w:cs="Arial"/>
          <w:sz w:val="22"/>
          <w:szCs w:val="22"/>
          <w:lang w:val="pt-BR"/>
        </w:rPr>
        <w:t xml:space="preserve">encaminhados a este órgão de controle, </w:t>
      </w:r>
      <w:r w:rsidR="005C37C5" w:rsidRPr="00A040FF">
        <w:rPr>
          <w:rFonts w:ascii="Arial" w:hAnsi="Arial" w:cs="Arial"/>
          <w:sz w:val="22"/>
          <w:szCs w:val="22"/>
          <w:lang w:val="pt-BR"/>
        </w:rPr>
        <w:t xml:space="preserve">através de ofício, </w:t>
      </w:r>
      <w:r w:rsidRPr="00A040FF">
        <w:rPr>
          <w:rFonts w:ascii="Arial" w:hAnsi="Arial" w:cs="Arial"/>
          <w:sz w:val="22"/>
          <w:szCs w:val="22"/>
          <w:lang w:val="pt-BR"/>
        </w:rPr>
        <w:t xml:space="preserve">analisados internamente e </w:t>
      </w:r>
      <w:r w:rsidR="00D44ADA">
        <w:rPr>
          <w:rFonts w:ascii="Arial" w:hAnsi="Arial" w:cs="Arial"/>
          <w:sz w:val="22"/>
          <w:szCs w:val="22"/>
          <w:lang w:val="pt-BR"/>
        </w:rPr>
        <w:t xml:space="preserve">ao final </w:t>
      </w:r>
      <w:r w:rsidRPr="00A040FF">
        <w:rPr>
          <w:rFonts w:ascii="Arial" w:hAnsi="Arial" w:cs="Arial"/>
          <w:sz w:val="22"/>
          <w:szCs w:val="22"/>
          <w:lang w:val="pt-BR"/>
        </w:rPr>
        <w:t xml:space="preserve">encaminhado os </w:t>
      </w:r>
      <w:r w:rsidR="005C37C5" w:rsidRPr="00A040FF">
        <w:rPr>
          <w:rFonts w:ascii="Arial" w:hAnsi="Arial" w:cs="Arial"/>
          <w:sz w:val="22"/>
          <w:szCs w:val="22"/>
          <w:lang w:val="pt-BR"/>
        </w:rPr>
        <w:t xml:space="preserve">Pareceres </w:t>
      </w:r>
      <w:r w:rsidR="00D44ADA">
        <w:rPr>
          <w:rFonts w:ascii="Arial" w:hAnsi="Arial" w:cs="Arial"/>
          <w:sz w:val="22"/>
          <w:szCs w:val="22"/>
          <w:lang w:val="pt-BR"/>
        </w:rPr>
        <w:t xml:space="preserve">Contábeis </w:t>
      </w:r>
      <w:r w:rsidR="005C37C5" w:rsidRPr="00A040FF">
        <w:rPr>
          <w:rFonts w:ascii="Arial" w:hAnsi="Arial" w:cs="Arial"/>
          <w:sz w:val="22"/>
          <w:szCs w:val="22"/>
          <w:lang w:val="pt-BR"/>
        </w:rPr>
        <w:t xml:space="preserve">Conclusivos, também </w:t>
      </w:r>
      <w:r w:rsidRPr="00A040FF">
        <w:rPr>
          <w:rFonts w:ascii="Arial" w:hAnsi="Arial" w:cs="Arial"/>
          <w:sz w:val="22"/>
          <w:szCs w:val="22"/>
          <w:lang w:val="pt-BR"/>
        </w:rPr>
        <w:t>através de ofício.</w:t>
      </w:r>
    </w:p>
    <w:p w:rsidR="005D381C" w:rsidRPr="00A040FF" w:rsidRDefault="00D44ADA" w:rsidP="00A27C83">
      <w:pPr>
        <w:spacing w:line="360" w:lineRule="auto"/>
        <w:ind w:firstLine="708"/>
        <w:jc w:val="both"/>
        <w:rPr>
          <w:rFonts w:ascii="Arial" w:hAnsi="Arial" w:cs="Arial"/>
          <w:sz w:val="22"/>
          <w:szCs w:val="22"/>
          <w:lang w:val="pt-BR"/>
        </w:rPr>
      </w:pPr>
      <w:r>
        <w:rPr>
          <w:rFonts w:ascii="Arial" w:hAnsi="Arial" w:cs="Arial"/>
          <w:sz w:val="22"/>
          <w:szCs w:val="22"/>
          <w:lang w:val="pt-BR"/>
        </w:rPr>
        <w:t>Especificamente n</w:t>
      </w:r>
      <w:r w:rsidR="005C37C5" w:rsidRPr="00A040FF">
        <w:rPr>
          <w:rFonts w:ascii="Arial" w:hAnsi="Arial" w:cs="Arial"/>
          <w:sz w:val="22"/>
          <w:szCs w:val="22"/>
          <w:lang w:val="pt-BR"/>
        </w:rPr>
        <w:t xml:space="preserve">o </w:t>
      </w:r>
      <w:r w:rsidR="005C37C5" w:rsidRPr="00A040FF">
        <w:rPr>
          <w:rFonts w:ascii="Arial" w:hAnsi="Arial" w:cs="Arial"/>
          <w:b/>
          <w:sz w:val="22"/>
          <w:szCs w:val="22"/>
          <w:lang w:val="pt-BR"/>
        </w:rPr>
        <w:t xml:space="preserve">PARECER </w:t>
      </w:r>
      <w:proofErr w:type="gramStart"/>
      <w:r w:rsidR="005C37C5" w:rsidRPr="00A040FF">
        <w:rPr>
          <w:rFonts w:ascii="Arial" w:hAnsi="Arial" w:cs="Arial"/>
          <w:b/>
          <w:sz w:val="22"/>
          <w:szCs w:val="22"/>
          <w:lang w:val="pt-BR"/>
        </w:rPr>
        <w:t>CONCLUSIVO 02</w:t>
      </w:r>
      <w:proofErr w:type="gramEnd"/>
      <w:r w:rsidR="005C37C5" w:rsidRPr="00A040FF">
        <w:rPr>
          <w:rFonts w:ascii="Arial" w:hAnsi="Arial" w:cs="Arial"/>
          <w:sz w:val="22"/>
          <w:szCs w:val="22"/>
          <w:lang w:val="pt-BR"/>
        </w:rPr>
        <w:t xml:space="preserve">, foram analisados 1.845 </w:t>
      </w:r>
      <w:r>
        <w:rPr>
          <w:rFonts w:ascii="Arial" w:hAnsi="Arial" w:cs="Arial"/>
          <w:sz w:val="22"/>
          <w:szCs w:val="22"/>
          <w:lang w:val="pt-BR"/>
        </w:rPr>
        <w:t xml:space="preserve">(um mil, oitocentos e quarenta e cinco) </w:t>
      </w:r>
      <w:r w:rsidR="005C37C5" w:rsidRPr="00A040FF">
        <w:rPr>
          <w:rFonts w:ascii="Arial" w:hAnsi="Arial" w:cs="Arial"/>
          <w:sz w:val="22"/>
          <w:szCs w:val="22"/>
          <w:lang w:val="pt-BR"/>
        </w:rPr>
        <w:t xml:space="preserve">processos, </w:t>
      </w:r>
      <w:r>
        <w:rPr>
          <w:rFonts w:ascii="Arial" w:hAnsi="Arial" w:cs="Arial"/>
          <w:sz w:val="22"/>
          <w:szCs w:val="22"/>
          <w:lang w:val="pt-BR"/>
        </w:rPr>
        <w:t>conforme listado abaixo:</w:t>
      </w:r>
    </w:p>
    <w:tbl>
      <w:tblPr>
        <w:tblStyle w:val="Tabelacomgrade"/>
        <w:tblW w:w="0" w:type="auto"/>
        <w:tblLook w:val="04A0"/>
      </w:tblPr>
      <w:tblGrid>
        <w:gridCol w:w="7054"/>
        <w:gridCol w:w="2157"/>
      </w:tblGrid>
      <w:tr w:rsidR="005D381C" w:rsidRPr="00A040FF" w:rsidTr="005C37C5">
        <w:tc>
          <w:tcPr>
            <w:tcW w:w="7054" w:type="dxa"/>
            <w:shd w:val="clear" w:color="auto" w:fill="D9D9D9" w:themeFill="background1" w:themeFillShade="D9"/>
            <w:vAlign w:val="center"/>
          </w:tcPr>
          <w:p w:rsidR="005D381C" w:rsidRPr="00A040FF" w:rsidRDefault="005D381C" w:rsidP="005C37C5">
            <w:pPr>
              <w:jc w:val="center"/>
              <w:rPr>
                <w:rFonts w:ascii="Arial" w:hAnsi="Arial" w:cs="Arial"/>
                <w:b/>
                <w:sz w:val="22"/>
                <w:szCs w:val="22"/>
                <w:lang w:val="pt-BR"/>
              </w:rPr>
            </w:pPr>
            <w:r w:rsidRPr="00A040FF">
              <w:rPr>
                <w:rFonts w:ascii="Arial" w:hAnsi="Arial" w:cs="Arial"/>
                <w:b/>
                <w:sz w:val="22"/>
                <w:szCs w:val="22"/>
                <w:lang w:val="pt-BR"/>
              </w:rPr>
              <w:t>ITEM</w:t>
            </w:r>
          </w:p>
        </w:tc>
        <w:tc>
          <w:tcPr>
            <w:tcW w:w="2157" w:type="dxa"/>
            <w:shd w:val="clear" w:color="auto" w:fill="D9D9D9" w:themeFill="background1" w:themeFillShade="D9"/>
            <w:vAlign w:val="center"/>
          </w:tcPr>
          <w:p w:rsidR="005D381C" w:rsidRPr="00A040FF" w:rsidRDefault="005D381C" w:rsidP="005C37C5">
            <w:pPr>
              <w:jc w:val="center"/>
              <w:rPr>
                <w:rFonts w:ascii="Arial" w:hAnsi="Arial" w:cs="Arial"/>
                <w:b/>
                <w:sz w:val="22"/>
                <w:szCs w:val="22"/>
                <w:lang w:val="pt-BR"/>
              </w:rPr>
            </w:pPr>
            <w:r w:rsidRPr="00A040FF">
              <w:rPr>
                <w:rFonts w:ascii="Arial" w:hAnsi="Arial" w:cs="Arial"/>
                <w:b/>
                <w:sz w:val="22"/>
                <w:szCs w:val="22"/>
                <w:lang w:val="pt-BR"/>
              </w:rPr>
              <w:t>PROCESSOS ANALISADOS</w:t>
            </w:r>
          </w:p>
        </w:tc>
      </w:tr>
      <w:tr w:rsidR="005D381C" w:rsidRPr="00A040FF" w:rsidTr="005C37C5">
        <w:tc>
          <w:tcPr>
            <w:tcW w:w="7054" w:type="dxa"/>
          </w:tcPr>
          <w:p w:rsidR="005D381C" w:rsidRPr="00A040FF" w:rsidRDefault="005D381C" w:rsidP="005D381C">
            <w:pPr>
              <w:jc w:val="both"/>
              <w:rPr>
                <w:rFonts w:ascii="Arial" w:hAnsi="Arial" w:cs="Arial"/>
                <w:sz w:val="22"/>
                <w:szCs w:val="22"/>
                <w:lang w:val="pt-BR"/>
              </w:rPr>
            </w:pPr>
            <w:r w:rsidRPr="00A040FF">
              <w:rPr>
                <w:rFonts w:ascii="Arial" w:hAnsi="Arial" w:cs="Arial"/>
                <w:sz w:val="22"/>
                <w:szCs w:val="22"/>
                <w:lang w:val="pt-BR"/>
              </w:rPr>
              <w:t xml:space="preserve">Processos de Pessoa Jurídica </w:t>
            </w:r>
            <w:r w:rsidR="00D44ADA">
              <w:rPr>
                <w:rFonts w:ascii="Arial" w:hAnsi="Arial" w:cs="Arial"/>
                <w:sz w:val="22"/>
                <w:szCs w:val="22"/>
                <w:lang w:val="pt-BR"/>
              </w:rPr>
              <w:t>–</w:t>
            </w:r>
            <w:r w:rsidRPr="00A040FF">
              <w:rPr>
                <w:rFonts w:ascii="Arial" w:hAnsi="Arial" w:cs="Arial"/>
                <w:sz w:val="22"/>
                <w:szCs w:val="22"/>
                <w:lang w:val="pt-BR"/>
              </w:rPr>
              <w:t xml:space="preserve"> Emergencial</w:t>
            </w:r>
          </w:p>
        </w:tc>
        <w:tc>
          <w:tcPr>
            <w:tcW w:w="2157" w:type="dxa"/>
          </w:tcPr>
          <w:p w:rsidR="005D381C" w:rsidRPr="00A040FF" w:rsidRDefault="005D381C" w:rsidP="005D381C">
            <w:pPr>
              <w:jc w:val="center"/>
              <w:rPr>
                <w:rFonts w:ascii="Arial" w:hAnsi="Arial" w:cs="Arial"/>
                <w:sz w:val="22"/>
                <w:szCs w:val="22"/>
                <w:lang w:val="pt-BR"/>
              </w:rPr>
            </w:pPr>
            <w:r w:rsidRPr="00A040FF">
              <w:rPr>
                <w:rFonts w:ascii="Arial" w:hAnsi="Arial" w:cs="Arial"/>
                <w:sz w:val="22"/>
                <w:szCs w:val="22"/>
                <w:lang w:val="pt-BR"/>
              </w:rPr>
              <w:t>897</w:t>
            </w:r>
          </w:p>
        </w:tc>
      </w:tr>
      <w:tr w:rsidR="005D381C" w:rsidRPr="00A040FF" w:rsidTr="005C37C5">
        <w:tc>
          <w:tcPr>
            <w:tcW w:w="7054" w:type="dxa"/>
          </w:tcPr>
          <w:p w:rsidR="005D381C" w:rsidRPr="00A040FF" w:rsidRDefault="005D381C" w:rsidP="005D381C">
            <w:pPr>
              <w:jc w:val="both"/>
              <w:rPr>
                <w:rFonts w:ascii="Arial" w:hAnsi="Arial" w:cs="Arial"/>
                <w:sz w:val="22"/>
                <w:szCs w:val="22"/>
                <w:lang w:val="pt-BR"/>
              </w:rPr>
            </w:pPr>
            <w:r w:rsidRPr="00A040FF">
              <w:rPr>
                <w:rFonts w:ascii="Arial" w:hAnsi="Arial" w:cs="Arial"/>
                <w:sz w:val="22"/>
                <w:szCs w:val="22"/>
                <w:lang w:val="pt-BR"/>
              </w:rPr>
              <w:t>Outros Processos de Despesas – Pessoa Jurídica</w:t>
            </w:r>
          </w:p>
        </w:tc>
        <w:tc>
          <w:tcPr>
            <w:tcW w:w="2157" w:type="dxa"/>
          </w:tcPr>
          <w:p w:rsidR="005D381C" w:rsidRPr="00A040FF" w:rsidRDefault="005D381C" w:rsidP="005D381C">
            <w:pPr>
              <w:jc w:val="center"/>
              <w:rPr>
                <w:rFonts w:ascii="Arial" w:hAnsi="Arial" w:cs="Arial"/>
                <w:sz w:val="22"/>
                <w:szCs w:val="22"/>
                <w:lang w:val="pt-BR"/>
              </w:rPr>
            </w:pPr>
            <w:r w:rsidRPr="00A040FF">
              <w:rPr>
                <w:rFonts w:ascii="Arial" w:hAnsi="Arial" w:cs="Arial"/>
                <w:sz w:val="22"/>
                <w:szCs w:val="22"/>
                <w:lang w:val="pt-BR"/>
              </w:rPr>
              <w:t>529</w:t>
            </w:r>
          </w:p>
        </w:tc>
      </w:tr>
      <w:tr w:rsidR="005D381C" w:rsidRPr="00A040FF" w:rsidTr="005C37C5">
        <w:tc>
          <w:tcPr>
            <w:tcW w:w="7054" w:type="dxa"/>
          </w:tcPr>
          <w:p w:rsidR="005D381C" w:rsidRPr="00A040FF" w:rsidRDefault="005D381C" w:rsidP="005D381C">
            <w:pPr>
              <w:jc w:val="both"/>
              <w:rPr>
                <w:rFonts w:ascii="Arial" w:hAnsi="Arial" w:cs="Arial"/>
                <w:sz w:val="22"/>
                <w:szCs w:val="22"/>
                <w:lang w:val="pt-BR"/>
              </w:rPr>
            </w:pPr>
            <w:r w:rsidRPr="00A040FF">
              <w:rPr>
                <w:rFonts w:ascii="Arial" w:hAnsi="Arial" w:cs="Arial"/>
                <w:sz w:val="22"/>
                <w:szCs w:val="22"/>
                <w:lang w:val="pt-BR"/>
              </w:rPr>
              <w:t>Processos de Despesas com Buffet/Eventos – DA de Moraes</w:t>
            </w:r>
          </w:p>
        </w:tc>
        <w:tc>
          <w:tcPr>
            <w:tcW w:w="2157" w:type="dxa"/>
          </w:tcPr>
          <w:p w:rsidR="005D381C" w:rsidRPr="00A040FF" w:rsidRDefault="005D381C" w:rsidP="005D381C">
            <w:pPr>
              <w:jc w:val="center"/>
              <w:rPr>
                <w:rFonts w:ascii="Arial" w:hAnsi="Arial" w:cs="Arial"/>
                <w:sz w:val="22"/>
                <w:szCs w:val="22"/>
                <w:lang w:val="pt-BR"/>
              </w:rPr>
            </w:pPr>
            <w:r w:rsidRPr="00A040FF">
              <w:rPr>
                <w:rFonts w:ascii="Arial" w:hAnsi="Arial" w:cs="Arial"/>
                <w:sz w:val="22"/>
                <w:szCs w:val="22"/>
                <w:lang w:val="pt-BR"/>
              </w:rPr>
              <w:t>40</w:t>
            </w:r>
          </w:p>
        </w:tc>
      </w:tr>
      <w:tr w:rsidR="005D381C" w:rsidRPr="00A040FF" w:rsidTr="005C37C5">
        <w:tc>
          <w:tcPr>
            <w:tcW w:w="7054" w:type="dxa"/>
          </w:tcPr>
          <w:p w:rsidR="005D381C" w:rsidRPr="00A040FF" w:rsidRDefault="005D381C" w:rsidP="005D381C">
            <w:pPr>
              <w:jc w:val="both"/>
              <w:rPr>
                <w:rFonts w:ascii="Arial" w:hAnsi="Arial" w:cs="Arial"/>
                <w:sz w:val="22"/>
                <w:szCs w:val="22"/>
                <w:lang w:val="pt-BR"/>
              </w:rPr>
            </w:pPr>
            <w:r w:rsidRPr="00A040FF">
              <w:rPr>
                <w:rFonts w:ascii="Arial" w:hAnsi="Arial" w:cs="Arial"/>
                <w:sz w:val="22"/>
                <w:szCs w:val="22"/>
                <w:lang w:val="pt-BR"/>
              </w:rPr>
              <w:t xml:space="preserve">Processos de Aquisição de Medicamentos e Correlatos – Laboratório B </w:t>
            </w:r>
            <w:proofErr w:type="spellStart"/>
            <w:r w:rsidRPr="00A040FF">
              <w:rPr>
                <w:rFonts w:ascii="Arial" w:hAnsi="Arial" w:cs="Arial"/>
                <w:sz w:val="22"/>
                <w:szCs w:val="22"/>
                <w:lang w:val="pt-BR"/>
              </w:rPr>
              <w:t>Braun</w:t>
            </w:r>
            <w:proofErr w:type="spellEnd"/>
            <w:r w:rsidRPr="00A040FF">
              <w:rPr>
                <w:rFonts w:ascii="Arial" w:hAnsi="Arial" w:cs="Arial"/>
                <w:sz w:val="22"/>
                <w:szCs w:val="22"/>
                <w:lang w:val="pt-BR"/>
              </w:rPr>
              <w:t>.</w:t>
            </w:r>
          </w:p>
        </w:tc>
        <w:tc>
          <w:tcPr>
            <w:tcW w:w="2157" w:type="dxa"/>
          </w:tcPr>
          <w:p w:rsidR="005D381C" w:rsidRPr="00A040FF" w:rsidRDefault="005D381C" w:rsidP="005D381C">
            <w:pPr>
              <w:jc w:val="center"/>
              <w:rPr>
                <w:rFonts w:ascii="Arial" w:hAnsi="Arial" w:cs="Arial"/>
                <w:sz w:val="22"/>
                <w:szCs w:val="22"/>
                <w:lang w:val="pt-BR"/>
              </w:rPr>
            </w:pPr>
            <w:r w:rsidRPr="00A040FF">
              <w:rPr>
                <w:rFonts w:ascii="Arial" w:hAnsi="Arial" w:cs="Arial"/>
                <w:sz w:val="22"/>
                <w:szCs w:val="22"/>
                <w:lang w:val="pt-BR"/>
              </w:rPr>
              <w:t>47</w:t>
            </w:r>
          </w:p>
        </w:tc>
      </w:tr>
      <w:tr w:rsidR="005D381C" w:rsidRPr="00A040FF" w:rsidTr="005C37C5">
        <w:tc>
          <w:tcPr>
            <w:tcW w:w="7054" w:type="dxa"/>
          </w:tcPr>
          <w:p w:rsidR="005D381C" w:rsidRPr="00A040FF" w:rsidRDefault="005D381C" w:rsidP="005D381C">
            <w:pPr>
              <w:jc w:val="both"/>
              <w:rPr>
                <w:rFonts w:ascii="Arial" w:hAnsi="Arial" w:cs="Arial"/>
                <w:sz w:val="22"/>
                <w:szCs w:val="22"/>
                <w:lang w:val="pt-BR"/>
              </w:rPr>
            </w:pPr>
            <w:r w:rsidRPr="00A040FF">
              <w:rPr>
                <w:rFonts w:ascii="Arial" w:hAnsi="Arial" w:cs="Arial"/>
                <w:sz w:val="22"/>
                <w:szCs w:val="22"/>
                <w:lang w:val="pt-BR"/>
              </w:rPr>
              <w:t xml:space="preserve">Processos de Despesas </w:t>
            </w:r>
            <w:proofErr w:type="spellStart"/>
            <w:r w:rsidRPr="00A040FF">
              <w:rPr>
                <w:rFonts w:ascii="Arial" w:hAnsi="Arial" w:cs="Arial"/>
                <w:sz w:val="22"/>
                <w:szCs w:val="22"/>
                <w:lang w:val="pt-BR"/>
              </w:rPr>
              <w:t>Inconformes</w:t>
            </w:r>
            <w:proofErr w:type="spellEnd"/>
            <w:r w:rsidRPr="00A040FF">
              <w:rPr>
                <w:rFonts w:ascii="Arial" w:hAnsi="Arial" w:cs="Arial"/>
                <w:sz w:val="22"/>
                <w:szCs w:val="22"/>
                <w:lang w:val="pt-BR"/>
              </w:rPr>
              <w:t xml:space="preserve"> – com determinação Judicial</w:t>
            </w:r>
          </w:p>
        </w:tc>
        <w:tc>
          <w:tcPr>
            <w:tcW w:w="2157" w:type="dxa"/>
          </w:tcPr>
          <w:p w:rsidR="005D381C" w:rsidRPr="00A040FF" w:rsidRDefault="005D381C" w:rsidP="005D381C">
            <w:pPr>
              <w:jc w:val="center"/>
              <w:rPr>
                <w:rFonts w:ascii="Arial" w:hAnsi="Arial" w:cs="Arial"/>
                <w:sz w:val="22"/>
                <w:szCs w:val="22"/>
                <w:lang w:val="pt-BR"/>
              </w:rPr>
            </w:pPr>
            <w:r w:rsidRPr="00A040FF">
              <w:rPr>
                <w:rFonts w:ascii="Arial" w:hAnsi="Arial" w:cs="Arial"/>
                <w:sz w:val="22"/>
                <w:szCs w:val="22"/>
                <w:lang w:val="pt-BR"/>
              </w:rPr>
              <w:t>109</w:t>
            </w:r>
          </w:p>
        </w:tc>
      </w:tr>
      <w:tr w:rsidR="005D381C" w:rsidRPr="00A040FF" w:rsidTr="005C37C5">
        <w:tc>
          <w:tcPr>
            <w:tcW w:w="7054" w:type="dxa"/>
          </w:tcPr>
          <w:p w:rsidR="005D381C" w:rsidRPr="00A040FF" w:rsidRDefault="005D381C" w:rsidP="005D381C">
            <w:pPr>
              <w:jc w:val="both"/>
              <w:rPr>
                <w:rFonts w:ascii="Arial" w:hAnsi="Arial" w:cs="Arial"/>
                <w:sz w:val="22"/>
                <w:szCs w:val="22"/>
                <w:lang w:val="pt-BR"/>
              </w:rPr>
            </w:pPr>
            <w:r w:rsidRPr="00A040FF">
              <w:rPr>
                <w:rFonts w:ascii="Arial" w:hAnsi="Arial" w:cs="Arial"/>
                <w:sz w:val="22"/>
                <w:szCs w:val="22"/>
                <w:lang w:val="pt-BR"/>
              </w:rPr>
              <w:t xml:space="preserve">Processos de Despesas </w:t>
            </w:r>
            <w:proofErr w:type="spellStart"/>
            <w:r w:rsidRPr="00A040FF">
              <w:rPr>
                <w:rFonts w:ascii="Arial" w:hAnsi="Arial" w:cs="Arial"/>
                <w:sz w:val="22"/>
                <w:szCs w:val="22"/>
                <w:lang w:val="pt-BR"/>
              </w:rPr>
              <w:t>Inconformes</w:t>
            </w:r>
            <w:proofErr w:type="spellEnd"/>
            <w:r w:rsidRPr="00A040FF">
              <w:rPr>
                <w:rFonts w:ascii="Arial" w:hAnsi="Arial" w:cs="Arial"/>
                <w:sz w:val="22"/>
                <w:szCs w:val="22"/>
                <w:lang w:val="pt-BR"/>
              </w:rPr>
              <w:t xml:space="preserve"> – PJ Manutenção de Veículos</w:t>
            </w:r>
          </w:p>
        </w:tc>
        <w:tc>
          <w:tcPr>
            <w:tcW w:w="2157" w:type="dxa"/>
          </w:tcPr>
          <w:p w:rsidR="005D381C" w:rsidRPr="00A040FF" w:rsidRDefault="005D381C" w:rsidP="005D381C">
            <w:pPr>
              <w:jc w:val="center"/>
              <w:rPr>
                <w:rFonts w:ascii="Arial" w:hAnsi="Arial" w:cs="Arial"/>
                <w:sz w:val="22"/>
                <w:szCs w:val="22"/>
                <w:lang w:val="pt-BR"/>
              </w:rPr>
            </w:pPr>
            <w:r w:rsidRPr="00A040FF">
              <w:rPr>
                <w:rFonts w:ascii="Arial" w:hAnsi="Arial" w:cs="Arial"/>
                <w:sz w:val="22"/>
                <w:szCs w:val="22"/>
                <w:lang w:val="pt-BR"/>
              </w:rPr>
              <w:t>223</w:t>
            </w:r>
          </w:p>
        </w:tc>
      </w:tr>
      <w:tr w:rsidR="005D381C" w:rsidRPr="00A040FF" w:rsidTr="005C37C5">
        <w:tc>
          <w:tcPr>
            <w:tcW w:w="7054" w:type="dxa"/>
            <w:shd w:val="clear" w:color="auto" w:fill="D9D9D9" w:themeFill="background1" w:themeFillShade="D9"/>
          </w:tcPr>
          <w:p w:rsidR="005D381C" w:rsidRPr="00A040FF" w:rsidRDefault="005D381C" w:rsidP="005D381C">
            <w:pPr>
              <w:jc w:val="both"/>
              <w:rPr>
                <w:rFonts w:ascii="Arial" w:hAnsi="Arial" w:cs="Arial"/>
                <w:b/>
                <w:sz w:val="22"/>
                <w:szCs w:val="22"/>
                <w:lang w:val="pt-BR"/>
              </w:rPr>
            </w:pPr>
            <w:r w:rsidRPr="00A040FF">
              <w:rPr>
                <w:rFonts w:ascii="Arial" w:hAnsi="Arial" w:cs="Arial"/>
                <w:b/>
                <w:sz w:val="22"/>
                <w:szCs w:val="22"/>
                <w:lang w:val="pt-BR"/>
              </w:rPr>
              <w:t>TOTAL</w:t>
            </w:r>
          </w:p>
        </w:tc>
        <w:tc>
          <w:tcPr>
            <w:tcW w:w="2157" w:type="dxa"/>
            <w:shd w:val="clear" w:color="auto" w:fill="D9D9D9" w:themeFill="background1" w:themeFillShade="D9"/>
          </w:tcPr>
          <w:p w:rsidR="005D381C" w:rsidRPr="00A040FF" w:rsidRDefault="005D381C" w:rsidP="005D381C">
            <w:pPr>
              <w:jc w:val="center"/>
              <w:rPr>
                <w:rFonts w:ascii="Arial" w:hAnsi="Arial" w:cs="Arial"/>
                <w:b/>
                <w:sz w:val="22"/>
                <w:szCs w:val="22"/>
                <w:lang w:val="pt-BR"/>
              </w:rPr>
            </w:pPr>
            <w:r w:rsidRPr="00A040FF">
              <w:rPr>
                <w:rFonts w:ascii="Arial" w:hAnsi="Arial" w:cs="Arial"/>
                <w:b/>
                <w:sz w:val="22"/>
                <w:szCs w:val="22"/>
                <w:lang w:val="pt-BR"/>
              </w:rPr>
              <w:t>1.845</w:t>
            </w:r>
          </w:p>
        </w:tc>
      </w:tr>
    </w:tbl>
    <w:p w:rsidR="005D381C" w:rsidRPr="00A040FF" w:rsidRDefault="005D381C" w:rsidP="00A27C83">
      <w:pPr>
        <w:spacing w:line="360" w:lineRule="auto"/>
        <w:ind w:firstLine="708"/>
        <w:jc w:val="both"/>
        <w:rPr>
          <w:rFonts w:ascii="Arial" w:hAnsi="Arial" w:cs="Arial"/>
          <w:sz w:val="22"/>
          <w:szCs w:val="22"/>
          <w:lang w:val="pt-BR"/>
        </w:rPr>
      </w:pPr>
    </w:p>
    <w:p w:rsidR="00861B8E" w:rsidRPr="00A040FF" w:rsidRDefault="005C37C5" w:rsidP="00AE6C83">
      <w:pPr>
        <w:spacing w:line="360" w:lineRule="auto"/>
        <w:ind w:firstLine="708"/>
        <w:jc w:val="both"/>
        <w:rPr>
          <w:rFonts w:ascii="Arial" w:hAnsi="Arial" w:cs="Arial"/>
          <w:b/>
          <w:i/>
          <w:sz w:val="22"/>
          <w:szCs w:val="22"/>
          <w:lang w:val="pt-BR"/>
        </w:rPr>
      </w:pPr>
      <w:r w:rsidRPr="00A040FF">
        <w:rPr>
          <w:rFonts w:ascii="Arial" w:hAnsi="Arial" w:cs="Arial"/>
          <w:sz w:val="22"/>
          <w:szCs w:val="22"/>
          <w:lang w:val="pt-BR"/>
        </w:rPr>
        <w:t xml:space="preserve">Destaca-se que </w:t>
      </w:r>
      <w:r w:rsidR="00AE6C83" w:rsidRPr="00A040FF">
        <w:rPr>
          <w:rFonts w:ascii="Arial" w:hAnsi="Arial" w:cs="Arial"/>
          <w:sz w:val="22"/>
          <w:szCs w:val="22"/>
          <w:lang w:val="pt-BR"/>
        </w:rPr>
        <w:t xml:space="preserve">cerca de 3.000 (três mil) </w:t>
      </w:r>
      <w:r w:rsidRPr="00A040FF">
        <w:rPr>
          <w:rFonts w:ascii="Arial" w:hAnsi="Arial" w:cs="Arial"/>
          <w:sz w:val="22"/>
          <w:szCs w:val="22"/>
          <w:lang w:val="pt-BR"/>
        </w:rPr>
        <w:t xml:space="preserve">processos </w:t>
      </w:r>
      <w:r w:rsidR="00D44ADA">
        <w:rPr>
          <w:rFonts w:ascii="Arial" w:hAnsi="Arial" w:cs="Arial"/>
          <w:sz w:val="22"/>
          <w:szCs w:val="22"/>
          <w:lang w:val="pt-BR"/>
        </w:rPr>
        <w:t xml:space="preserve">- </w:t>
      </w:r>
      <w:r w:rsidR="00AE6C83" w:rsidRPr="00A040FF">
        <w:rPr>
          <w:rFonts w:ascii="Arial" w:hAnsi="Arial" w:cs="Arial"/>
          <w:sz w:val="22"/>
          <w:szCs w:val="22"/>
          <w:lang w:val="pt-BR"/>
        </w:rPr>
        <w:t>Pareceres Conclusivos 01 e 02</w:t>
      </w:r>
      <w:r w:rsidR="00D44ADA">
        <w:rPr>
          <w:rFonts w:ascii="Arial" w:hAnsi="Arial" w:cs="Arial"/>
          <w:sz w:val="22"/>
          <w:szCs w:val="22"/>
          <w:lang w:val="pt-BR"/>
        </w:rPr>
        <w:t xml:space="preserve"> -</w:t>
      </w:r>
      <w:r w:rsidR="00AE6C83" w:rsidRPr="00A040FF">
        <w:rPr>
          <w:rFonts w:ascii="Arial" w:hAnsi="Arial" w:cs="Arial"/>
          <w:sz w:val="22"/>
          <w:szCs w:val="22"/>
          <w:lang w:val="pt-BR"/>
        </w:rPr>
        <w:t xml:space="preserve"> </w:t>
      </w:r>
      <w:r w:rsidRPr="00A040FF">
        <w:rPr>
          <w:rFonts w:ascii="Arial" w:hAnsi="Arial" w:cs="Arial"/>
          <w:sz w:val="22"/>
          <w:szCs w:val="22"/>
          <w:lang w:val="pt-BR"/>
        </w:rPr>
        <w:t xml:space="preserve">foram analisados na sede da </w:t>
      </w:r>
      <w:r w:rsidR="00D44ADA">
        <w:rPr>
          <w:rFonts w:ascii="Arial" w:hAnsi="Arial" w:cs="Arial"/>
          <w:sz w:val="22"/>
          <w:szCs w:val="22"/>
          <w:lang w:val="pt-BR"/>
        </w:rPr>
        <w:t>SESAU</w:t>
      </w:r>
      <w:r w:rsidRPr="00A040FF">
        <w:rPr>
          <w:rFonts w:ascii="Arial" w:hAnsi="Arial" w:cs="Arial"/>
          <w:sz w:val="22"/>
          <w:szCs w:val="22"/>
          <w:lang w:val="pt-BR"/>
        </w:rPr>
        <w:t xml:space="preserve">, individualmente, sendo o Parecer </w:t>
      </w:r>
      <w:r w:rsidR="00D44ADA">
        <w:rPr>
          <w:rFonts w:ascii="Arial" w:hAnsi="Arial" w:cs="Arial"/>
          <w:sz w:val="22"/>
          <w:szCs w:val="22"/>
          <w:lang w:val="pt-BR"/>
        </w:rPr>
        <w:t xml:space="preserve">Contábil </w:t>
      </w:r>
      <w:r w:rsidR="00AE6C83" w:rsidRPr="00A040FF">
        <w:rPr>
          <w:rFonts w:ascii="Arial" w:hAnsi="Arial" w:cs="Arial"/>
          <w:sz w:val="22"/>
          <w:szCs w:val="22"/>
          <w:lang w:val="pt-BR"/>
        </w:rPr>
        <w:t>C</w:t>
      </w:r>
      <w:r w:rsidRPr="00A040FF">
        <w:rPr>
          <w:rFonts w:ascii="Arial" w:hAnsi="Arial" w:cs="Arial"/>
          <w:sz w:val="22"/>
          <w:szCs w:val="22"/>
          <w:lang w:val="pt-BR"/>
        </w:rPr>
        <w:t xml:space="preserve">onclusivo emitido </w:t>
      </w:r>
      <w:r w:rsidR="00D44ADA">
        <w:rPr>
          <w:rFonts w:ascii="Arial" w:hAnsi="Arial" w:cs="Arial"/>
          <w:sz w:val="22"/>
          <w:szCs w:val="22"/>
          <w:lang w:val="pt-BR"/>
        </w:rPr>
        <w:t xml:space="preserve">de forma </w:t>
      </w:r>
      <w:r w:rsidR="00AE6C83" w:rsidRPr="00A040FF">
        <w:rPr>
          <w:rFonts w:ascii="Arial" w:hAnsi="Arial" w:cs="Arial"/>
          <w:sz w:val="22"/>
          <w:szCs w:val="22"/>
          <w:lang w:val="pt-BR"/>
        </w:rPr>
        <w:t>consolidado</w:t>
      </w:r>
      <w:r w:rsidRPr="00A040FF">
        <w:rPr>
          <w:rFonts w:ascii="Arial" w:hAnsi="Arial" w:cs="Arial"/>
          <w:sz w:val="22"/>
          <w:szCs w:val="22"/>
          <w:lang w:val="pt-BR"/>
        </w:rPr>
        <w:t xml:space="preserve">, onde </w:t>
      </w:r>
      <w:r w:rsidR="00AE6C83" w:rsidRPr="00A040FF">
        <w:rPr>
          <w:rFonts w:ascii="Arial" w:hAnsi="Arial" w:cs="Arial"/>
          <w:sz w:val="22"/>
          <w:szCs w:val="22"/>
          <w:lang w:val="pt-BR"/>
        </w:rPr>
        <w:t xml:space="preserve">em seus </w:t>
      </w:r>
      <w:r w:rsidRPr="00A040FF">
        <w:rPr>
          <w:rFonts w:ascii="Arial" w:hAnsi="Arial" w:cs="Arial"/>
          <w:sz w:val="22"/>
          <w:szCs w:val="22"/>
          <w:lang w:val="pt-BR"/>
        </w:rPr>
        <w:t>anexos foram listados todos os processos analisados, contendo</w:t>
      </w:r>
      <w:r w:rsidR="00AE6C83" w:rsidRPr="00A040FF">
        <w:rPr>
          <w:rFonts w:ascii="Arial" w:hAnsi="Arial" w:cs="Arial"/>
          <w:sz w:val="22"/>
          <w:szCs w:val="22"/>
          <w:lang w:val="pt-BR"/>
        </w:rPr>
        <w:t xml:space="preserve"> as inconformidades e os seguintes dados</w:t>
      </w:r>
      <w:r w:rsidRPr="00A040FF">
        <w:rPr>
          <w:rFonts w:ascii="Arial" w:hAnsi="Arial" w:cs="Arial"/>
          <w:sz w:val="22"/>
          <w:szCs w:val="22"/>
          <w:lang w:val="pt-BR"/>
        </w:rPr>
        <w:t>: N</w:t>
      </w:r>
      <w:r w:rsidR="004912EB" w:rsidRPr="00A040FF">
        <w:rPr>
          <w:rFonts w:ascii="Arial" w:hAnsi="Arial" w:cs="Arial"/>
          <w:sz w:val="22"/>
          <w:szCs w:val="22"/>
          <w:lang w:val="pt-BR"/>
        </w:rPr>
        <w:t>ú</w:t>
      </w:r>
      <w:r w:rsidRPr="00A040FF">
        <w:rPr>
          <w:rFonts w:ascii="Arial" w:hAnsi="Arial" w:cs="Arial"/>
          <w:sz w:val="22"/>
          <w:szCs w:val="22"/>
          <w:lang w:val="pt-BR"/>
        </w:rPr>
        <w:t xml:space="preserve">mero do Processo, Data, Favorecido, CNPJ, Descrição do Item adquirido, </w:t>
      </w:r>
      <w:r w:rsidR="004912EB" w:rsidRPr="00A040FF">
        <w:rPr>
          <w:rFonts w:ascii="Arial" w:hAnsi="Arial" w:cs="Arial"/>
          <w:sz w:val="22"/>
          <w:szCs w:val="22"/>
          <w:lang w:val="pt-BR"/>
        </w:rPr>
        <w:t>V</w:t>
      </w:r>
      <w:r w:rsidRPr="00A040FF">
        <w:rPr>
          <w:rFonts w:ascii="Arial" w:hAnsi="Arial" w:cs="Arial"/>
          <w:sz w:val="22"/>
          <w:szCs w:val="22"/>
          <w:lang w:val="pt-BR"/>
        </w:rPr>
        <w:t>alor e a Observação (se estava apto para pagamento ou não)</w:t>
      </w:r>
      <w:r w:rsidR="00AE6C83" w:rsidRPr="00A040FF">
        <w:rPr>
          <w:rFonts w:ascii="Arial" w:hAnsi="Arial" w:cs="Arial"/>
          <w:sz w:val="22"/>
          <w:szCs w:val="22"/>
          <w:lang w:val="pt-BR"/>
        </w:rPr>
        <w:t xml:space="preserve">, sendo inviável manter a cópia dos processos, as quais </w:t>
      </w:r>
      <w:r w:rsidR="00AE6C83" w:rsidRPr="00A040FF">
        <w:rPr>
          <w:rFonts w:ascii="Arial" w:hAnsi="Arial" w:cs="Arial"/>
          <w:sz w:val="22"/>
          <w:szCs w:val="22"/>
          <w:lang w:val="pt-BR"/>
        </w:rPr>
        <w:lastRenderedPageBreak/>
        <w:t>ficaram sob a guarda da S</w:t>
      </w:r>
      <w:r w:rsidR="00115B28">
        <w:rPr>
          <w:rFonts w:ascii="Arial" w:hAnsi="Arial" w:cs="Arial"/>
          <w:sz w:val="22"/>
          <w:szCs w:val="22"/>
          <w:lang w:val="pt-BR"/>
        </w:rPr>
        <w:t>ESAU</w:t>
      </w:r>
      <w:r w:rsidR="00AE6C83" w:rsidRPr="00A040FF">
        <w:rPr>
          <w:rFonts w:ascii="Arial" w:hAnsi="Arial" w:cs="Arial"/>
          <w:sz w:val="22"/>
          <w:szCs w:val="22"/>
          <w:lang w:val="pt-BR"/>
        </w:rPr>
        <w:t xml:space="preserve"> para o prosseguimento dos atos conforme determinado nos Pareceres </w:t>
      </w:r>
      <w:r w:rsidR="00115B28">
        <w:rPr>
          <w:rFonts w:ascii="Arial" w:hAnsi="Arial" w:cs="Arial"/>
          <w:sz w:val="22"/>
          <w:szCs w:val="22"/>
          <w:lang w:val="pt-BR"/>
        </w:rPr>
        <w:t xml:space="preserve">Contábeis </w:t>
      </w:r>
      <w:r w:rsidR="00AE6C83" w:rsidRPr="00A040FF">
        <w:rPr>
          <w:rFonts w:ascii="Arial" w:hAnsi="Arial" w:cs="Arial"/>
          <w:sz w:val="22"/>
          <w:szCs w:val="22"/>
          <w:lang w:val="pt-BR"/>
        </w:rPr>
        <w:t>Conclusivos.</w:t>
      </w:r>
    </w:p>
    <w:p w:rsidR="00B84B28" w:rsidRDefault="00AE6C83" w:rsidP="00A27C83">
      <w:pPr>
        <w:spacing w:line="360" w:lineRule="auto"/>
        <w:ind w:firstLine="708"/>
        <w:jc w:val="both"/>
        <w:rPr>
          <w:rFonts w:ascii="Arial" w:hAnsi="Arial" w:cs="Arial"/>
          <w:sz w:val="22"/>
          <w:szCs w:val="22"/>
          <w:lang w:val="pt-BR"/>
        </w:rPr>
      </w:pPr>
      <w:r w:rsidRPr="00A040FF">
        <w:rPr>
          <w:rFonts w:ascii="Arial" w:hAnsi="Arial" w:cs="Arial"/>
          <w:sz w:val="22"/>
          <w:szCs w:val="22"/>
          <w:lang w:val="pt-BR"/>
        </w:rPr>
        <w:t>Segue</w:t>
      </w:r>
      <w:r w:rsidR="00936634">
        <w:rPr>
          <w:rFonts w:ascii="Arial" w:hAnsi="Arial" w:cs="Arial"/>
          <w:sz w:val="22"/>
          <w:szCs w:val="22"/>
          <w:lang w:val="pt-BR"/>
        </w:rPr>
        <w:t>m</w:t>
      </w:r>
      <w:r w:rsidRPr="00A040FF">
        <w:rPr>
          <w:rFonts w:ascii="Arial" w:hAnsi="Arial" w:cs="Arial"/>
          <w:sz w:val="22"/>
          <w:szCs w:val="22"/>
          <w:lang w:val="pt-BR"/>
        </w:rPr>
        <w:t xml:space="preserve"> </w:t>
      </w:r>
      <w:r w:rsidR="007C6914" w:rsidRPr="00A040FF">
        <w:rPr>
          <w:rFonts w:ascii="Arial" w:hAnsi="Arial" w:cs="Arial"/>
          <w:sz w:val="22"/>
          <w:szCs w:val="22"/>
          <w:lang w:val="pt-BR"/>
        </w:rPr>
        <w:t>cópia</w:t>
      </w:r>
      <w:r w:rsidR="00936634">
        <w:rPr>
          <w:rFonts w:ascii="Arial" w:hAnsi="Arial" w:cs="Arial"/>
          <w:sz w:val="22"/>
          <w:szCs w:val="22"/>
          <w:lang w:val="pt-BR"/>
        </w:rPr>
        <w:t>s</w:t>
      </w:r>
      <w:r w:rsidR="007C6914" w:rsidRPr="00A040FF">
        <w:rPr>
          <w:rFonts w:ascii="Arial" w:hAnsi="Arial" w:cs="Arial"/>
          <w:sz w:val="22"/>
          <w:szCs w:val="22"/>
          <w:lang w:val="pt-BR"/>
        </w:rPr>
        <w:t xml:space="preserve">, em meio magnético, </w:t>
      </w:r>
      <w:r w:rsidR="00936634">
        <w:rPr>
          <w:rFonts w:ascii="Arial" w:hAnsi="Arial" w:cs="Arial"/>
          <w:sz w:val="22"/>
          <w:szCs w:val="22"/>
          <w:lang w:val="pt-BR"/>
        </w:rPr>
        <w:t xml:space="preserve">dos seguintes documentos: </w:t>
      </w:r>
    </w:p>
    <w:p w:rsidR="00B84B28" w:rsidRDefault="00B84B28" w:rsidP="00B84B28">
      <w:pPr>
        <w:pStyle w:val="PargrafodaLista"/>
        <w:numPr>
          <w:ilvl w:val="0"/>
          <w:numId w:val="10"/>
        </w:numPr>
        <w:spacing w:line="360" w:lineRule="auto"/>
        <w:jc w:val="both"/>
        <w:rPr>
          <w:rFonts w:ascii="Arial" w:hAnsi="Arial" w:cs="Arial"/>
          <w:sz w:val="22"/>
          <w:szCs w:val="22"/>
          <w:lang w:val="pt-BR"/>
        </w:rPr>
      </w:pPr>
      <w:r>
        <w:rPr>
          <w:rFonts w:ascii="Arial" w:hAnsi="Arial" w:cs="Arial"/>
          <w:sz w:val="22"/>
          <w:szCs w:val="22"/>
          <w:lang w:val="pt-BR"/>
        </w:rPr>
        <w:t>M</w:t>
      </w:r>
      <w:r w:rsidR="00936634" w:rsidRPr="00B84B28">
        <w:rPr>
          <w:rFonts w:ascii="Arial" w:hAnsi="Arial" w:cs="Arial"/>
          <w:sz w:val="22"/>
          <w:szCs w:val="22"/>
          <w:lang w:val="pt-BR"/>
        </w:rPr>
        <w:t xml:space="preserve">emorando 001/2015 indicando a equipe para proceder </w:t>
      </w:r>
      <w:r w:rsidRPr="00B84B28">
        <w:rPr>
          <w:rFonts w:ascii="Arial" w:hAnsi="Arial" w:cs="Arial"/>
          <w:sz w:val="22"/>
          <w:szCs w:val="22"/>
          <w:lang w:val="pt-BR"/>
        </w:rPr>
        <w:t>à</w:t>
      </w:r>
      <w:r w:rsidR="00936634" w:rsidRPr="00B84B28">
        <w:rPr>
          <w:rFonts w:ascii="Arial" w:hAnsi="Arial" w:cs="Arial"/>
          <w:sz w:val="22"/>
          <w:szCs w:val="22"/>
          <w:lang w:val="pt-BR"/>
        </w:rPr>
        <w:t xml:space="preserve"> análise dos processos;</w:t>
      </w:r>
    </w:p>
    <w:p w:rsidR="00B84B28" w:rsidRDefault="007C6914" w:rsidP="00B84B28">
      <w:pPr>
        <w:pStyle w:val="PargrafodaLista"/>
        <w:numPr>
          <w:ilvl w:val="0"/>
          <w:numId w:val="10"/>
        </w:numPr>
        <w:spacing w:line="360" w:lineRule="auto"/>
        <w:jc w:val="both"/>
        <w:rPr>
          <w:rFonts w:ascii="Arial" w:hAnsi="Arial" w:cs="Arial"/>
          <w:sz w:val="22"/>
          <w:szCs w:val="22"/>
          <w:lang w:val="pt-BR"/>
        </w:rPr>
      </w:pPr>
      <w:r w:rsidRPr="00B84B28">
        <w:rPr>
          <w:rFonts w:ascii="Arial" w:hAnsi="Arial" w:cs="Arial"/>
          <w:sz w:val="22"/>
          <w:szCs w:val="22"/>
          <w:lang w:val="pt-BR"/>
        </w:rPr>
        <w:t xml:space="preserve">Portaria </w:t>
      </w:r>
      <w:r w:rsidR="00936634" w:rsidRPr="00B84B28">
        <w:rPr>
          <w:rFonts w:ascii="Arial" w:hAnsi="Arial" w:cs="Arial"/>
          <w:sz w:val="22"/>
          <w:szCs w:val="22"/>
          <w:lang w:val="pt-BR"/>
        </w:rPr>
        <w:t>nº 004, de 24.02.2015, p</w:t>
      </w:r>
      <w:r w:rsidRPr="00B84B28">
        <w:rPr>
          <w:rFonts w:ascii="Arial" w:hAnsi="Arial" w:cs="Arial"/>
          <w:sz w:val="22"/>
          <w:szCs w:val="22"/>
          <w:lang w:val="pt-BR"/>
        </w:rPr>
        <w:t>ublicada</w:t>
      </w:r>
      <w:r w:rsidR="00936634" w:rsidRPr="00B84B28">
        <w:rPr>
          <w:rFonts w:ascii="Arial" w:hAnsi="Arial" w:cs="Arial"/>
          <w:sz w:val="22"/>
          <w:szCs w:val="22"/>
          <w:lang w:val="pt-BR"/>
        </w:rPr>
        <w:t xml:space="preserve"> no Diário Oficial do Estado – DOE em 02.03.2015;</w:t>
      </w:r>
      <w:r w:rsidRPr="00B84B28">
        <w:rPr>
          <w:rFonts w:ascii="Arial" w:hAnsi="Arial" w:cs="Arial"/>
          <w:sz w:val="22"/>
          <w:szCs w:val="22"/>
          <w:lang w:val="pt-BR"/>
        </w:rPr>
        <w:t xml:space="preserve"> </w:t>
      </w:r>
    </w:p>
    <w:p w:rsidR="00B84B28" w:rsidRDefault="007C6914" w:rsidP="00B84B28">
      <w:pPr>
        <w:pStyle w:val="PargrafodaLista"/>
        <w:numPr>
          <w:ilvl w:val="0"/>
          <w:numId w:val="10"/>
        </w:numPr>
        <w:spacing w:line="360" w:lineRule="auto"/>
        <w:jc w:val="both"/>
        <w:rPr>
          <w:rFonts w:ascii="Arial" w:hAnsi="Arial" w:cs="Arial"/>
          <w:sz w:val="22"/>
          <w:szCs w:val="22"/>
          <w:lang w:val="pt-BR"/>
        </w:rPr>
      </w:pPr>
      <w:r w:rsidRPr="00B84B28">
        <w:rPr>
          <w:rFonts w:ascii="Arial" w:hAnsi="Arial" w:cs="Arial"/>
          <w:sz w:val="22"/>
          <w:szCs w:val="22"/>
          <w:lang w:val="pt-BR"/>
        </w:rPr>
        <w:t xml:space="preserve">Ofício </w:t>
      </w:r>
      <w:r w:rsidR="00936634" w:rsidRPr="00B84B28">
        <w:rPr>
          <w:rFonts w:ascii="Arial" w:hAnsi="Arial" w:cs="Arial"/>
          <w:sz w:val="22"/>
          <w:szCs w:val="22"/>
          <w:lang w:val="pt-BR"/>
        </w:rPr>
        <w:t xml:space="preserve">nº 026/2015/GABIN/CGE, datado de 02.03.2015, </w:t>
      </w:r>
      <w:r w:rsidRPr="00B84B28">
        <w:rPr>
          <w:rFonts w:ascii="Arial" w:hAnsi="Arial" w:cs="Arial"/>
          <w:sz w:val="22"/>
          <w:szCs w:val="22"/>
          <w:lang w:val="pt-BR"/>
        </w:rPr>
        <w:t xml:space="preserve">de </w:t>
      </w:r>
      <w:r w:rsidR="00AE6C83" w:rsidRPr="00B84B28">
        <w:rPr>
          <w:rFonts w:ascii="Arial" w:hAnsi="Arial" w:cs="Arial"/>
          <w:sz w:val="22"/>
          <w:szCs w:val="22"/>
          <w:lang w:val="pt-BR"/>
        </w:rPr>
        <w:t xml:space="preserve">Apresentação </w:t>
      </w:r>
      <w:r w:rsidRPr="00B84B28">
        <w:rPr>
          <w:rFonts w:ascii="Arial" w:hAnsi="Arial" w:cs="Arial"/>
          <w:sz w:val="22"/>
          <w:szCs w:val="22"/>
          <w:lang w:val="pt-BR"/>
        </w:rPr>
        <w:t>da Equipe</w:t>
      </w:r>
      <w:r w:rsidR="00936634" w:rsidRPr="00B84B28">
        <w:rPr>
          <w:rFonts w:ascii="Arial" w:hAnsi="Arial" w:cs="Arial"/>
          <w:sz w:val="22"/>
          <w:szCs w:val="22"/>
          <w:lang w:val="pt-BR"/>
        </w:rPr>
        <w:t xml:space="preserve"> para proceder </w:t>
      </w:r>
      <w:proofErr w:type="gramStart"/>
      <w:r w:rsidR="00936634" w:rsidRPr="00B84B28">
        <w:rPr>
          <w:rFonts w:ascii="Arial" w:hAnsi="Arial" w:cs="Arial"/>
          <w:sz w:val="22"/>
          <w:szCs w:val="22"/>
          <w:lang w:val="pt-BR"/>
        </w:rPr>
        <w:t>a</w:t>
      </w:r>
      <w:proofErr w:type="gramEnd"/>
      <w:r w:rsidR="00936634" w:rsidRPr="00B84B28">
        <w:rPr>
          <w:rFonts w:ascii="Arial" w:hAnsi="Arial" w:cs="Arial"/>
          <w:sz w:val="22"/>
          <w:szCs w:val="22"/>
          <w:lang w:val="pt-BR"/>
        </w:rPr>
        <w:t xml:space="preserve"> análise nos processos de Despesas de Exercícios Anteriores, conforme Decreto nº 39.456/2015;</w:t>
      </w:r>
      <w:r w:rsidR="00AE6C83" w:rsidRPr="00B84B28">
        <w:rPr>
          <w:rFonts w:ascii="Arial" w:hAnsi="Arial" w:cs="Arial"/>
          <w:sz w:val="22"/>
          <w:szCs w:val="22"/>
          <w:lang w:val="pt-BR"/>
        </w:rPr>
        <w:t xml:space="preserve"> </w:t>
      </w:r>
    </w:p>
    <w:p w:rsidR="00B84B28" w:rsidRDefault="00936634" w:rsidP="00B84B28">
      <w:pPr>
        <w:pStyle w:val="PargrafodaLista"/>
        <w:numPr>
          <w:ilvl w:val="0"/>
          <w:numId w:val="10"/>
        </w:numPr>
        <w:spacing w:line="360" w:lineRule="auto"/>
        <w:jc w:val="both"/>
        <w:rPr>
          <w:rFonts w:ascii="Arial" w:hAnsi="Arial" w:cs="Arial"/>
          <w:sz w:val="22"/>
          <w:szCs w:val="22"/>
          <w:lang w:val="pt-BR"/>
        </w:rPr>
      </w:pPr>
      <w:r w:rsidRPr="00B84B28">
        <w:rPr>
          <w:rFonts w:ascii="Arial" w:hAnsi="Arial" w:cs="Arial"/>
          <w:sz w:val="22"/>
          <w:szCs w:val="22"/>
          <w:lang w:val="pt-BR"/>
        </w:rPr>
        <w:t>Parecer Técnico Conclusivo 02</w:t>
      </w:r>
      <w:r w:rsidR="00B84B28">
        <w:rPr>
          <w:rFonts w:ascii="Arial" w:hAnsi="Arial" w:cs="Arial"/>
          <w:sz w:val="22"/>
          <w:szCs w:val="22"/>
          <w:lang w:val="pt-BR"/>
        </w:rPr>
        <w:t>;</w:t>
      </w:r>
      <w:r w:rsidRPr="00B84B28">
        <w:rPr>
          <w:rFonts w:ascii="Arial" w:hAnsi="Arial" w:cs="Arial"/>
          <w:sz w:val="22"/>
          <w:szCs w:val="22"/>
          <w:lang w:val="pt-BR"/>
        </w:rPr>
        <w:t xml:space="preserve"> </w:t>
      </w:r>
      <w:proofErr w:type="gramStart"/>
      <w:r w:rsidRPr="00B84B28">
        <w:rPr>
          <w:rFonts w:ascii="Arial" w:hAnsi="Arial" w:cs="Arial"/>
          <w:sz w:val="22"/>
          <w:szCs w:val="22"/>
          <w:lang w:val="pt-BR"/>
        </w:rPr>
        <w:t>e</w:t>
      </w:r>
      <w:proofErr w:type="gramEnd"/>
      <w:r w:rsidRPr="00B84B28">
        <w:rPr>
          <w:rFonts w:ascii="Arial" w:hAnsi="Arial" w:cs="Arial"/>
          <w:sz w:val="22"/>
          <w:szCs w:val="22"/>
          <w:lang w:val="pt-BR"/>
        </w:rPr>
        <w:t xml:space="preserve"> </w:t>
      </w:r>
    </w:p>
    <w:p w:rsidR="007C6914" w:rsidRPr="00B84B28" w:rsidRDefault="00AE6C83" w:rsidP="00B84B28">
      <w:pPr>
        <w:pStyle w:val="PargrafodaLista"/>
        <w:numPr>
          <w:ilvl w:val="0"/>
          <w:numId w:val="10"/>
        </w:numPr>
        <w:spacing w:line="360" w:lineRule="auto"/>
        <w:jc w:val="both"/>
        <w:rPr>
          <w:rFonts w:ascii="Arial" w:hAnsi="Arial" w:cs="Arial"/>
          <w:sz w:val="22"/>
          <w:szCs w:val="22"/>
          <w:lang w:val="pt-BR"/>
        </w:rPr>
      </w:pPr>
      <w:r w:rsidRPr="00B84B28">
        <w:rPr>
          <w:rFonts w:ascii="Arial" w:hAnsi="Arial" w:cs="Arial"/>
          <w:sz w:val="22"/>
          <w:szCs w:val="22"/>
          <w:lang w:val="pt-BR"/>
        </w:rPr>
        <w:t xml:space="preserve">Ofício </w:t>
      </w:r>
      <w:r w:rsidR="00936634" w:rsidRPr="00B84B28">
        <w:rPr>
          <w:rFonts w:ascii="Arial" w:hAnsi="Arial" w:cs="Arial"/>
          <w:sz w:val="22"/>
          <w:szCs w:val="22"/>
          <w:lang w:val="pt-BR"/>
        </w:rPr>
        <w:t xml:space="preserve">nº 089/2015/GABIN/CGE, datado de 18.05.2015 </w:t>
      </w:r>
      <w:r w:rsidRPr="00B84B28">
        <w:rPr>
          <w:rFonts w:ascii="Arial" w:hAnsi="Arial" w:cs="Arial"/>
          <w:sz w:val="22"/>
          <w:szCs w:val="22"/>
          <w:lang w:val="pt-BR"/>
        </w:rPr>
        <w:t xml:space="preserve">de </w:t>
      </w:r>
      <w:r w:rsidR="00936634" w:rsidRPr="00B84B28">
        <w:rPr>
          <w:rFonts w:ascii="Arial" w:hAnsi="Arial" w:cs="Arial"/>
          <w:sz w:val="22"/>
          <w:szCs w:val="22"/>
          <w:lang w:val="pt-BR"/>
        </w:rPr>
        <w:t>e</w:t>
      </w:r>
      <w:r w:rsidRPr="00B84B28">
        <w:rPr>
          <w:rFonts w:ascii="Arial" w:hAnsi="Arial" w:cs="Arial"/>
          <w:sz w:val="22"/>
          <w:szCs w:val="22"/>
          <w:lang w:val="pt-BR"/>
        </w:rPr>
        <w:t>ncaminhamento do Pareces Conclusivos 02</w:t>
      </w:r>
      <w:r w:rsidR="00936634" w:rsidRPr="00B84B28">
        <w:rPr>
          <w:rFonts w:ascii="Arial" w:hAnsi="Arial" w:cs="Arial"/>
          <w:sz w:val="22"/>
          <w:szCs w:val="22"/>
          <w:lang w:val="pt-BR"/>
        </w:rPr>
        <w:t>/2015 à</w:t>
      </w:r>
      <w:r w:rsidRPr="00B84B28">
        <w:rPr>
          <w:rFonts w:ascii="Arial" w:hAnsi="Arial" w:cs="Arial"/>
          <w:sz w:val="22"/>
          <w:szCs w:val="22"/>
          <w:lang w:val="pt-BR"/>
        </w:rPr>
        <w:t xml:space="preserve"> SESAU.</w:t>
      </w:r>
    </w:p>
    <w:p w:rsidR="006072ED" w:rsidRDefault="006C49FF" w:rsidP="00A040FF">
      <w:pPr>
        <w:spacing w:line="360" w:lineRule="auto"/>
        <w:ind w:firstLine="708"/>
        <w:jc w:val="both"/>
        <w:rPr>
          <w:rFonts w:ascii="Arial" w:hAnsi="Arial" w:cs="Arial"/>
          <w:sz w:val="22"/>
          <w:szCs w:val="22"/>
          <w:lang w:val="pt-BR"/>
        </w:rPr>
      </w:pPr>
      <w:r w:rsidRPr="00A040FF">
        <w:rPr>
          <w:rFonts w:ascii="Arial" w:hAnsi="Arial" w:cs="Arial"/>
          <w:sz w:val="22"/>
          <w:szCs w:val="22"/>
          <w:lang w:val="pt-BR"/>
        </w:rPr>
        <w:t>Dessa forma, encaminho os autos ao Gabinete da Controladora Geral, acompanhado d</w:t>
      </w:r>
      <w:r w:rsidR="00A040FF" w:rsidRPr="00A040FF">
        <w:rPr>
          <w:rFonts w:ascii="Arial" w:hAnsi="Arial" w:cs="Arial"/>
          <w:sz w:val="22"/>
          <w:szCs w:val="22"/>
          <w:lang w:val="pt-BR"/>
        </w:rPr>
        <w:t>e CD contendo cópia do</w:t>
      </w:r>
      <w:r w:rsidR="00B84B28">
        <w:rPr>
          <w:rFonts w:ascii="Arial" w:hAnsi="Arial" w:cs="Arial"/>
          <w:sz w:val="22"/>
          <w:szCs w:val="22"/>
          <w:lang w:val="pt-BR"/>
        </w:rPr>
        <w:t xml:space="preserve">o documentos listados nos itens </w:t>
      </w:r>
      <w:r w:rsidR="00B84B28" w:rsidRPr="006072ED">
        <w:rPr>
          <w:rFonts w:ascii="Arial" w:hAnsi="Arial" w:cs="Arial"/>
          <w:b/>
          <w:i/>
          <w:sz w:val="22"/>
          <w:szCs w:val="22"/>
          <w:lang w:val="pt-BR"/>
        </w:rPr>
        <w:t>“a”</w:t>
      </w:r>
      <w:r w:rsidR="00B84B28">
        <w:rPr>
          <w:rFonts w:ascii="Arial" w:hAnsi="Arial" w:cs="Arial"/>
          <w:sz w:val="22"/>
          <w:szCs w:val="22"/>
          <w:lang w:val="pt-BR"/>
        </w:rPr>
        <w:t xml:space="preserve"> </w:t>
      </w:r>
      <w:r w:rsidR="006072ED">
        <w:rPr>
          <w:rFonts w:ascii="Arial" w:hAnsi="Arial" w:cs="Arial"/>
          <w:sz w:val="22"/>
          <w:szCs w:val="22"/>
          <w:lang w:val="pt-BR"/>
        </w:rPr>
        <w:t>à</w:t>
      </w:r>
      <w:r w:rsidR="00B84B28">
        <w:rPr>
          <w:rFonts w:ascii="Arial" w:hAnsi="Arial" w:cs="Arial"/>
          <w:sz w:val="22"/>
          <w:szCs w:val="22"/>
          <w:lang w:val="pt-BR"/>
        </w:rPr>
        <w:t xml:space="preserve"> </w:t>
      </w:r>
      <w:r w:rsidR="00B84B28" w:rsidRPr="006072ED">
        <w:rPr>
          <w:rFonts w:ascii="Arial" w:hAnsi="Arial" w:cs="Arial"/>
          <w:b/>
          <w:i/>
          <w:sz w:val="22"/>
          <w:szCs w:val="22"/>
          <w:lang w:val="pt-BR"/>
        </w:rPr>
        <w:t>“e”</w:t>
      </w:r>
      <w:r w:rsidR="00B84B28">
        <w:rPr>
          <w:rFonts w:ascii="Arial" w:hAnsi="Arial" w:cs="Arial"/>
          <w:sz w:val="22"/>
          <w:szCs w:val="22"/>
          <w:lang w:val="pt-BR"/>
        </w:rPr>
        <w:t xml:space="preserve"> acima, </w:t>
      </w:r>
      <w:r w:rsidR="00A040FF" w:rsidRPr="00A040FF">
        <w:rPr>
          <w:rFonts w:ascii="Arial" w:hAnsi="Arial" w:cs="Arial"/>
          <w:sz w:val="22"/>
          <w:szCs w:val="22"/>
          <w:lang w:val="pt-BR"/>
        </w:rPr>
        <w:t>para conhecimento, sugerindo</w:t>
      </w:r>
      <w:r w:rsidR="00B84B28">
        <w:rPr>
          <w:rFonts w:ascii="Arial" w:hAnsi="Arial" w:cs="Arial"/>
          <w:sz w:val="22"/>
          <w:szCs w:val="22"/>
          <w:lang w:val="pt-BR"/>
        </w:rPr>
        <w:t xml:space="preserve"> o encaminhamento do </w:t>
      </w:r>
      <w:r w:rsidR="00A040FF" w:rsidRPr="00A040FF">
        <w:rPr>
          <w:rFonts w:ascii="Arial" w:hAnsi="Arial" w:cs="Arial"/>
          <w:sz w:val="22"/>
          <w:szCs w:val="22"/>
          <w:lang w:val="pt-BR"/>
        </w:rPr>
        <w:t>MPE</w:t>
      </w:r>
      <w:r w:rsidR="00B84B28">
        <w:rPr>
          <w:rFonts w:ascii="Arial" w:hAnsi="Arial" w:cs="Arial"/>
          <w:sz w:val="22"/>
          <w:szCs w:val="22"/>
          <w:lang w:val="pt-BR"/>
        </w:rPr>
        <w:t xml:space="preserve"> – 21ª PJC. </w:t>
      </w:r>
    </w:p>
    <w:p w:rsidR="00861B8E" w:rsidRPr="00A040FF" w:rsidRDefault="00B84B28" w:rsidP="00A040FF">
      <w:pPr>
        <w:spacing w:line="360" w:lineRule="auto"/>
        <w:ind w:firstLine="708"/>
        <w:jc w:val="both"/>
        <w:rPr>
          <w:rFonts w:ascii="Arial" w:hAnsi="Arial" w:cs="Arial"/>
          <w:sz w:val="22"/>
          <w:szCs w:val="22"/>
          <w:lang w:val="pt-BR"/>
        </w:rPr>
      </w:pPr>
      <w:r>
        <w:rPr>
          <w:rFonts w:ascii="Arial" w:hAnsi="Arial" w:cs="Arial"/>
          <w:sz w:val="22"/>
          <w:szCs w:val="22"/>
          <w:lang w:val="pt-BR"/>
        </w:rPr>
        <w:t xml:space="preserve">Quanto </w:t>
      </w:r>
      <w:r w:rsidR="006072ED">
        <w:rPr>
          <w:rFonts w:ascii="Arial" w:hAnsi="Arial" w:cs="Arial"/>
          <w:sz w:val="22"/>
          <w:szCs w:val="22"/>
          <w:lang w:val="pt-BR"/>
        </w:rPr>
        <w:t>à</w:t>
      </w:r>
      <w:r>
        <w:rPr>
          <w:rFonts w:ascii="Arial" w:hAnsi="Arial" w:cs="Arial"/>
          <w:sz w:val="22"/>
          <w:szCs w:val="22"/>
          <w:lang w:val="pt-BR"/>
        </w:rPr>
        <w:t xml:space="preserve"> cópia </w:t>
      </w:r>
      <w:r w:rsidRPr="00A040FF">
        <w:rPr>
          <w:rFonts w:ascii="Arial" w:hAnsi="Arial" w:cs="Arial"/>
          <w:sz w:val="22"/>
          <w:szCs w:val="22"/>
          <w:lang w:val="pt-BR"/>
        </w:rPr>
        <w:t xml:space="preserve">dos processos administrativos descritos e da documentação que embasa o </w:t>
      </w:r>
      <w:r w:rsidRPr="002C69ED">
        <w:rPr>
          <w:rFonts w:ascii="Arial" w:hAnsi="Arial" w:cs="Arial"/>
          <w:b/>
          <w:sz w:val="22"/>
          <w:szCs w:val="22"/>
          <w:lang w:val="pt-BR"/>
        </w:rPr>
        <w:t>Relatório Conclusivo nº 02/2015</w:t>
      </w:r>
      <w:r w:rsidR="006072ED">
        <w:rPr>
          <w:rFonts w:ascii="Arial" w:hAnsi="Arial" w:cs="Arial"/>
          <w:b/>
          <w:sz w:val="22"/>
          <w:szCs w:val="22"/>
          <w:lang w:val="pt-BR"/>
        </w:rPr>
        <w:t>,</w:t>
      </w:r>
      <w:r>
        <w:rPr>
          <w:rFonts w:ascii="Arial" w:hAnsi="Arial" w:cs="Arial"/>
          <w:b/>
          <w:sz w:val="22"/>
          <w:szCs w:val="22"/>
          <w:lang w:val="pt-BR"/>
        </w:rPr>
        <w:t xml:space="preserve"> </w:t>
      </w:r>
      <w:r w:rsidR="006072ED">
        <w:rPr>
          <w:rFonts w:ascii="Arial" w:hAnsi="Arial" w:cs="Arial"/>
          <w:sz w:val="22"/>
          <w:szCs w:val="22"/>
          <w:lang w:val="pt-BR"/>
        </w:rPr>
        <w:t xml:space="preserve">sugerimos que o MPE – 21º PJC notifique a </w:t>
      </w:r>
      <w:r w:rsidR="00A040FF" w:rsidRPr="00A040FF">
        <w:rPr>
          <w:rFonts w:ascii="Arial" w:hAnsi="Arial" w:cs="Arial"/>
          <w:sz w:val="22"/>
          <w:szCs w:val="22"/>
          <w:lang w:val="pt-BR"/>
        </w:rPr>
        <w:t xml:space="preserve">SESAU </w:t>
      </w:r>
      <w:r w:rsidR="006072ED">
        <w:rPr>
          <w:rFonts w:ascii="Arial" w:hAnsi="Arial" w:cs="Arial"/>
          <w:sz w:val="22"/>
          <w:szCs w:val="22"/>
          <w:lang w:val="pt-BR"/>
        </w:rPr>
        <w:t xml:space="preserve">para </w:t>
      </w:r>
      <w:r w:rsidR="00A040FF" w:rsidRPr="00A040FF">
        <w:rPr>
          <w:rFonts w:ascii="Arial" w:hAnsi="Arial" w:cs="Arial"/>
          <w:sz w:val="22"/>
          <w:szCs w:val="22"/>
          <w:lang w:val="pt-BR"/>
        </w:rPr>
        <w:t xml:space="preserve">a apresentação dos processos listados no Parecer </w:t>
      </w:r>
      <w:r w:rsidR="006072ED">
        <w:rPr>
          <w:rFonts w:ascii="Arial" w:hAnsi="Arial" w:cs="Arial"/>
          <w:sz w:val="22"/>
          <w:szCs w:val="22"/>
          <w:lang w:val="pt-BR"/>
        </w:rPr>
        <w:t xml:space="preserve">Contábil </w:t>
      </w:r>
      <w:r w:rsidR="00A040FF" w:rsidRPr="00A040FF">
        <w:rPr>
          <w:rFonts w:ascii="Arial" w:hAnsi="Arial" w:cs="Arial"/>
          <w:sz w:val="22"/>
          <w:szCs w:val="22"/>
          <w:lang w:val="pt-BR"/>
        </w:rPr>
        <w:t xml:space="preserve">Conclusivo 02, em meio magnético, já que é o órgão que </w:t>
      </w:r>
      <w:r w:rsidR="00750DD5" w:rsidRPr="00A040FF">
        <w:rPr>
          <w:rFonts w:ascii="Arial" w:hAnsi="Arial" w:cs="Arial"/>
          <w:sz w:val="22"/>
          <w:szCs w:val="22"/>
          <w:lang w:val="pt-BR"/>
        </w:rPr>
        <w:t>detém</w:t>
      </w:r>
      <w:r w:rsidR="00A040FF" w:rsidRPr="00A040FF">
        <w:rPr>
          <w:rFonts w:ascii="Arial" w:hAnsi="Arial" w:cs="Arial"/>
          <w:sz w:val="22"/>
          <w:szCs w:val="22"/>
          <w:lang w:val="pt-BR"/>
        </w:rPr>
        <w:t xml:space="preserve"> a guarda dos processos. Salienta-se, ainda, que a atual localização dos processos pode ser consultada através do </w:t>
      </w:r>
      <w:r w:rsidR="006072ED">
        <w:rPr>
          <w:rFonts w:ascii="Arial" w:hAnsi="Arial" w:cs="Arial"/>
          <w:sz w:val="22"/>
          <w:szCs w:val="22"/>
          <w:lang w:val="pt-BR"/>
        </w:rPr>
        <w:t xml:space="preserve">Sistema Integrado de Gestão Pública - </w:t>
      </w:r>
      <w:proofErr w:type="gramStart"/>
      <w:r w:rsidR="00A040FF" w:rsidRPr="00A040FF">
        <w:rPr>
          <w:rFonts w:ascii="Arial" w:hAnsi="Arial" w:cs="Arial"/>
          <w:sz w:val="22"/>
          <w:szCs w:val="22"/>
          <w:lang w:val="pt-BR"/>
        </w:rPr>
        <w:t>INTEGRA,</w:t>
      </w:r>
      <w:proofErr w:type="gramEnd"/>
      <w:r w:rsidR="00A040FF" w:rsidRPr="00A040FF">
        <w:rPr>
          <w:rFonts w:ascii="Arial" w:hAnsi="Arial" w:cs="Arial"/>
          <w:sz w:val="22"/>
          <w:szCs w:val="22"/>
          <w:lang w:val="pt-BR"/>
        </w:rPr>
        <w:t xml:space="preserve"> sistema de acompanhamento do andamento dos processos dentro do âmbito dos órgãos que compõem o Poder Executivo do Estado de Alagoas.</w:t>
      </w:r>
    </w:p>
    <w:p w:rsidR="00A040FF" w:rsidRPr="00A040FF" w:rsidRDefault="00A040FF" w:rsidP="00A040FF">
      <w:pPr>
        <w:spacing w:line="360" w:lineRule="auto"/>
        <w:ind w:firstLine="708"/>
        <w:jc w:val="both"/>
        <w:rPr>
          <w:rFonts w:ascii="Arial" w:hAnsi="Arial" w:cs="Arial"/>
          <w:sz w:val="22"/>
          <w:szCs w:val="22"/>
          <w:lang w:val="pt-BR"/>
        </w:rPr>
      </w:pPr>
    </w:p>
    <w:p w:rsidR="00634412" w:rsidRPr="00A040FF" w:rsidRDefault="00634412" w:rsidP="004912EB">
      <w:pPr>
        <w:autoSpaceDE w:val="0"/>
        <w:autoSpaceDN w:val="0"/>
        <w:adjustRightInd w:val="0"/>
        <w:spacing w:line="360" w:lineRule="auto"/>
        <w:jc w:val="center"/>
        <w:rPr>
          <w:rFonts w:ascii="Arial" w:hAnsi="Arial" w:cs="Arial"/>
          <w:iCs/>
          <w:sz w:val="22"/>
          <w:szCs w:val="22"/>
          <w:lang w:val="pt-BR"/>
        </w:rPr>
      </w:pPr>
      <w:r w:rsidRPr="00A040FF">
        <w:rPr>
          <w:rFonts w:ascii="Arial" w:hAnsi="Arial" w:cs="Arial"/>
          <w:iCs/>
          <w:sz w:val="22"/>
          <w:szCs w:val="22"/>
          <w:lang w:val="pt-BR"/>
        </w:rPr>
        <w:t xml:space="preserve">Maceió, </w:t>
      </w:r>
      <w:r w:rsidR="00A61B30" w:rsidRPr="00A040FF">
        <w:rPr>
          <w:rFonts w:ascii="Arial" w:hAnsi="Arial" w:cs="Arial"/>
          <w:iCs/>
          <w:sz w:val="22"/>
          <w:szCs w:val="22"/>
          <w:lang w:val="pt-BR"/>
        </w:rPr>
        <w:t>2</w:t>
      </w:r>
      <w:r w:rsidR="004912EB" w:rsidRPr="00A040FF">
        <w:rPr>
          <w:rFonts w:ascii="Arial" w:hAnsi="Arial" w:cs="Arial"/>
          <w:iCs/>
          <w:sz w:val="22"/>
          <w:szCs w:val="22"/>
          <w:lang w:val="pt-BR"/>
        </w:rPr>
        <w:t>1</w:t>
      </w:r>
      <w:r w:rsidRPr="00A040FF">
        <w:rPr>
          <w:rFonts w:ascii="Arial" w:hAnsi="Arial" w:cs="Arial"/>
          <w:iCs/>
          <w:sz w:val="22"/>
          <w:szCs w:val="22"/>
          <w:lang w:val="pt-BR"/>
        </w:rPr>
        <w:t xml:space="preserve"> de </w:t>
      </w:r>
      <w:r w:rsidR="004912EB" w:rsidRPr="00A040FF">
        <w:rPr>
          <w:rFonts w:ascii="Arial" w:hAnsi="Arial" w:cs="Arial"/>
          <w:iCs/>
          <w:sz w:val="22"/>
          <w:szCs w:val="22"/>
          <w:lang w:val="pt-BR"/>
        </w:rPr>
        <w:t>Outubro</w:t>
      </w:r>
      <w:r w:rsidRPr="00A040FF">
        <w:rPr>
          <w:rFonts w:ascii="Arial" w:hAnsi="Arial" w:cs="Arial"/>
          <w:iCs/>
          <w:sz w:val="22"/>
          <w:szCs w:val="22"/>
          <w:lang w:val="pt-BR"/>
        </w:rPr>
        <w:t xml:space="preserve"> de 2015.</w:t>
      </w:r>
    </w:p>
    <w:p w:rsidR="004912EB" w:rsidRPr="00A040FF" w:rsidRDefault="004912EB" w:rsidP="004912EB">
      <w:pPr>
        <w:autoSpaceDE w:val="0"/>
        <w:autoSpaceDN w:val="0"/>
        <w:adjustRightInd w:val="0"/>
        <w:spacing w:line="360" w:lineRule="auto"/>
        <w:jc w:val="center"/>
        <w:rPr>
          <w:rFonts w:ascii="Arial" w:hAnsi="Arial" w:cs="Arial"/>
          <w:iCs/>
          <w:sz w:val="22"/>
          <w:szCs w:val="22"/>
          <w:lang w:val="pt-BR"/>
        </w:rPr>
      </w:pPr>
    </w:p>
    <w:p w:rsidR="00634412" w:rsidRPr="00A040FF" w:rsidRDefault="00634412" w:rsidP="004912EB">
      <w:pPr>
        <w:pStyle w:val="SemEspaamento"/>
        <w:spacing w:line="360" w:lineRule="auto"/>
        <w:jc w:val="center"/>
        <w:rPr>
          <w:rFonts w:ascii="Arial" w:hAnsi="Arial" w:cs="Arial"/>
        </w:rPr>
      </w:pPr>
    </w:p>
    <w:p w:rsidR="00634412" w:rsidRPr="00A040FF" w:rsidRDefault="00634412" w:rsidP="004912EB">
      <w:pPr>
        <w:pStyle w:val="SemEspaamento"/>
        <w:jc w:val="center"/>
        <w:rPr>
          <w:rFonts w:ascii="Arial" w:hAnsi="Arial" w:cs="Arial"/>
          <w:b/>
        </w:rPr>
      </w:pPr>
      <w:r w:rsidRPr="00A040FF">
        <w:rPr>
          <w:rFonts w:ascii="Arial" w:hAnsi="Arial" w:cs="Arial"/>
          <w:b/>
        </w:rPr>
        <w:t>Adriana Andrade Araújo</w:t>
      </w:r>
    </w:p>
    <w:p w:rsidR="00634412" w:rsidRPr="00A040FF" w:rsidRDefault="00634412" w:rsidP="004912EB">
      <w:pPr>
        <w:pStyle w:val="SemEspaamento"/>
        <w:jc w:val="center"/>
        <w:rPr>
          <w:rFonts w:ascii="Arial" w:hAnsi="Arial" w:cs="Arial"/>
        </w:rPr>
      </w:pPr>
      <w:r w:rsidRPr="00A040FF">
        <w:rPr>
          <w:rFonts w:ascii="Arial" w:hAnsi="Arial" w:cs="Arial"/>
          <w:b/>
        </w:rPr>
        <w:t xml:space="preserve">Superintendente de Auditagem/Matrícula n° </w:t>
      </w:r>
      <w:r w:rsidR="00A61B30" w:rsidRPr="00A040FF">
        <w:rPr>
          <w:rFonts w:ascii="Arial" w:hAnsi="Arial" w:cs="Arial"/>
          <w:b/>
        </w:rPr>
        <w:t>113-9</w:t>
      </w:r>
    </w:p>
    <w:p w:rsidR="00C07CE6" w:rsidRPr="00A040FF" w:rsidRDefault="00C07CE6" w:rsidP="00A27C83">
      <w:pPr>
        <w:spacing w:line="360" w:lineRule="auto"/>
        <w:jc w:val="both"/>
        <w:rPr>
          <w:rFonts w:ascii="Arial" w:hAnsi="Arial" w:cs="Arial"/>
          <w:sz w:val="22"/>
          <w:szCs w:val="22"/>
          <w:lang w:val="pt-BR"/>
        </w:rPr>
      </w:pPr>
    </w:p>
    <w:sectPr w:rsidR="00C07CE6" w:rsidRPr="00A040FF" w:rsidSect="00634412">
      <w:headerReference w:type="default" r:id="rId7"/>
      <w:footerReference w:type="default" r:id="rId8"/>
      <w:pgSz w:w="11906" w:h="16838"/>
      <w:pgMar w:top="1418"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0DD5" w:rsidRDefault="00750DD5" w:rsidP="0016418A">
      <w:r>
        <w:separator/>
      </w:r>
    </w:p>
  </w:endnote>
  <w:endnote w:type="continuationSeparator" w:id="0">
    <w:p w:rsidR="00750DD5" w:rsidRDefault="00750DD5" w:rsidP="0016418A">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 Roman No9 L">
    <w:altName w:val="Times New Roman"/>
    <w:charset w:val="00"/>
    <w:family w:val="roman"/>
    <w:pitch w:val="variable"/>
    <w:sig w:usb0="00000000" w:usb1="00000000" w:usb2="00000000" w:usb3="00000000" w:csb0="00000000" w:csb1="00000000"/>
  </w:font>
  <w:font w:name="Bitstream Vera Sans">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DD5" w:rsidRPr="0016418A" w:rsidRDefault="00750DD5" w:rsidP="0016418A">
    <w:pPr>
      <w:pStyle w:val="Rodap"/>
    </w:pPr>
    <w:r>
      <w:rPr>
        <w:noProof/>
        <w:lang w:eastAsia="pt-BR"/>
      </w:rPr>
      <w:drawing>
        <wp:anchor distT="0" distB="0" distL="114300" distR="114300" simplePos="0" relativeHeight="251660288" behindDoc="1" locked="0" layoutInCell="1" allowOverlap="1">
          <wp:simplePos x="0" y="0"/>
          <wp:positionH relativeFrom="column">
            <wp:posOffset>5582086</wp:posOffset>
          </wp:positionH>
          <wp:positionV relativeFrom="paragraph">
            <wp:posOffset>-255706</wp:posOffset>
          </wp:positionV>
          <wp:extent cx="708063" cy="692072"/>
          <wp:effectExtent l="19050" t="0" r="0" b="0"/>
          <wp:wrapNone/>
          <wp:docPr id="4" name="Imagem 3" descr="Se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as.png"/>
                  <pic:cNvPicPr/>
                </pic:nvPicPr>
                <pic:blipFill>
                  <a:blip r:embed="rId1"/>
                  <a:stretch>
                    <a:fillRect/>
                  </a:stretch>
                </pic:blipFill>
                <pic:spPr>
                  <a:xfrm>
                    <a:off x="0" y="0"/>
                    <a:ext cx="708063" cy="692072"/>
                  </a:xfrm>
                  <a:prstGeom prst="rect">
                    <a:avLst/>
                  </a:prstGeom>
                </pic:spPr>
              </pic:pic>
            </a:graphicData>
          </a:graphic>
        </wp:anchor>
      </w:drawing>
    </w:r>
    <w:r>
      <w:rPr>
        <w:noProof/>
        <w:lang w:eastAsia="pt-BR"/>
      </w:rPr>
      <w:drawing>
        <wp:anchor distT="0" distB="0" distL="114300" distR="114300" simplePos="0" relativeHeight="251659264" behindDoc="1" locked="0" layoutInCell="1" allowOverlap="1">
          <wp:simplePos x="0" y="0"/>
          <wp:positionH relativeFrom="column">
            <wp:posOffset>-706755</wp:posOffset>
          </wp:positionH>
          <wp:positionV relativeFrom="paragraph">
            <wp:posOffset>-257175</wp:posOffset>
          </wp:positionV>
          <wp:extent cx="1373505" cy="548640"/>
          <wp:effectExtent l="19050" t="0" r="0" b="0"/>
          <wp:wrapNone/>
          <wp:docPr id="3" name="Imagem 2" descr="Marca Gove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 Governo.png"/>
                  <pic:cNvPicPr/>
                </pic:nvPicPr>
                <pic:blipFill>
                  <a:blip r:embed="rId2"/>
                  <a:stretch>
                    <a:fillRect/>
                  </a:stretch>
                </pic:blipFill>
                <pic:spPr>
                  <a:xfrm>
                    <a:off x="0" y="0"/>
                    <a:ext cx="1373505" cy="54864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0DD5" w:rsidRDefault="00750DD5" w:rsidP="0016418A">
      <w:r>
        <w:separator/>
      </w:r>
    </w:p>
  </w:footnote>
  <w:footnote w:type="continuationSeparator" w:id="0">
    <w:p w:rsidR="00750DD5" w:rsidRDefault="00750DD5" w:rsidP="001641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DD5" w:rsidRDefault="00750DD5">
    <w:pPr>
      <w:pStyle w:val="Cabealho"/>
    </w:pPr>
    <w:r>
      <w:rPr>
        <w:noProof/>
        <w:lang w:eastAsia="pt-BR"/>
      </w:rPr>
      <w:drawing>
        <wp:anchor distT="0" distB="0" distL="114300" distR="114300" simplePos="0" relativeHeight="251658240" behindDoc="1" locked="0" layoutInCell="1" allowOverlap="1">
          <wp:simplePos x="0" y="0"/>
          <wp:positionH relativeFrom="column">
            <wp:posOffset>2567940</wp:posOffset>
          </wp:positionH>
          <wp:positionV relativeFrom="paragraph">
            <wp:posOffset>-78740</wp:posOffset>
          </wp:positionV>
          <wp:extent cx="509270" cy="638175"/>
          <wp:effectExtent l="19050" t="0" r="5080" b="0"/>
          <wp:wrapNone/>
          <wp:docPr id="1" name="Imagem 0" descr="Bra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ng"/>
                  <pic:cNvPicPr/>
                </pic:nvPicPr>
                <pic:blipFill>
                  <a:blip r:embed="rId1"/>
                  <a:stretch>
                    <a:fillRect/>
                  </a:stretch>
                </pic:blipFill>
                <pic:spPr>
                  <a:xfrm>
                    <a:off x="0" y="0"/>
                    <a:ext cx="509270" cy="638175"/>
                  </a:xfrm>
                  <a:prstGeom prst="rect">
                    <a:avLst/>
                  </a:prstGeom>
                </pic:spPr>
              </pic:pic>
            </a:graphicData>
          </a:graphic>
        </wp:anchor>
      </w:drawing>
    </w:r>
    <w:r>
      <w:t xml:space="preserve">    </w:t>
    </w:r>
  </w:p>
  <w:p w:rsidR="00750DD5" w:rsidRDefault="00750DD5">
    <w:pPr>
      <w:pStyle w:val="Cabealho"/>
    </w:pPr>
  </w:p>
  <w:p w:rsidR="00750DD5" w:rsidRDefault="00750DD5">
    <w:pPr>
      <w:pStyle w:val="Cabealho"/>
    </w:pPr>
  </w:p>
  <w:p w:rsidR="00750DD5" w:rsidRPr="0016418A" w:rsidRDefault="00750DD5" w:rsidP="0016418A">
    <w:pPr>
      <w:pStyle w:val="Cabealho"/>
      <w:spacing w:after="100" w:afterAutospacing="1"/>
      <w:contextualSpacing/>
      <w:jc w:val="center"/>
      <w:rPr>
        <w:b/>
        <w:sz w:val="20"/>
        <w:szCs w:val="20"/>
      </w:rPr>
    </w:pPr>
    <w:r w:rsidRPr="0016418A">
      <w:rPr>
        <w:b/>
        <w:sz w:val="20"/>
        <w:szCs w:val="20"/>
      </w:rPr>
      <w:t>ESTADO DE ALAGOAS</w:t>
    </w:r>
  </w:p>
  <w:p w:rsidR="00750DD5" w:rsidRPr="0016418A" w:rsidRDefault="00750DD5" w:rsidP="0016418A">
    <w:pPr>
      <w:pStyle w:val="Cabealho"/>
      <w:spacing w:after="100" w:afterAutospacing="1"/>
      <w:contextualSpacing/>
      <w:jc w:val="center"/>
      <w:rPr>
        <w:b/>
        <w:sz w:val="18"/>
        <w:szCs w:val="18"/>
      </w:rPr>
    </w:pPr>
    <w:r>
      <w:rPr>
        <w:b/>
        <w:sz w:val="18"/>
        <w:szCs w:val="18"/>
      </w:rPr>
      <w:t>CONTROLADORIA GERAL DO ESTADO</w:t>
    </w:r>
  </w:p>
  <w:p w:rsidR="00750DD5" w:rsidRPr="0016418A" w:rsidRDefault="00750DD5" w:rsidP="0016418A">
    <w:pPr>
      <w:pStyle w:val="Cabealho"/>
      <w:spacing w:after="100" w:afterAutospacing="1"/>
      <w:contextualSpacing/>
      <w:jc w:val="center"/>
      <w:rPr>
        <w:sz w:val="17"/>
        <w:szCs w:val="17"/>
      </w:rPr>
    </w:pPr>
    <w:r>
      <w:rPr>
        <w:sz w:val="17"/>
        <w:szCs w:val="17"/>
      </w:rPr>
      <w:t xml:space="preserve">Praça Marechal Floriano Peixoto, Edifício Maria Moreno 571 – Centro </w:t>
    </w:r>
    <w:r w:rsidRPr="0016418A">
      <w:rPr>
        <w:sz w:val="17"/>
        <w:szCs w:val="17"/>
      </w:rPr>
      <w:t>- Maceió - AL - CEP 57020-</w:t>
    </w:r>
    <w:r>
      <w:rPr>
        <w:sz w:val="17"/>
        <w:szCs w:val="17"/>
      </w:rPr>
      <w:t>090</w:t>
    </w:r>
    <w:r w:rsidRPr="0016418A">
      <w:rPr>
        <w:sz w:val="17"/>
        <w:szCs w:val="17"/>
      </w:rPr>
      <w:t xml:space="preserve"> </w:t>
    </w:r>
  </w:p>
  <w:p w:rsidR="00750DD5" w:rsidRPr="0016418A" w:rsidRDefault="00750DD5" w:rsidP="0016418A">
    <w:pPr>
      <w:pStyle w:val="Cabealho"/>
      <w:spacing w:after="100" w:afterAutospacing="1"/>
      <w:contextualSpacing/>
      <w:jc w:val="center"/>
      <w:rPr>
        <w:sz w:val="17"/>
        <w:szCs w:val="17"/>
      </w:rPr>
    </w:pPr>
    <w:r>
      <w:rPr>
        <w:sz w:val="17"/>
        <w:szCs w:val="17"/>
      </w:rPr>
      <w:t>Fone: (82) 3315-3630 - CNPJ: 12.415.907/0001-09</w:t>
    </w:r>
    <w:r w:rsidRPr="0016418A">
      <w:rPr>
        <w:sz w:val="17"/>
        <w:szCs w:val="17"/>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3DD3"/>
    <w:multiLevelType w:val="hybridMultilevel"/>
    <w:tmpl w:val="63728656"/>
    <w:lvl w:ilvl="0" w:tplc="04160017">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09E1354F"/>
    <w:multiLevelType w:val="hybridMultilevel"/>
    <w:tmpl w:val="388CD51E"/>
    <w:lvl w:ilvl="0" w:tplc="1998653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1CE115CA"/>
    <w:multiLevelType w:val="hybridMultilevel"/>
    <w:tmpl w:val="A9CA26AE"/>
    <w:lvl w:ilvl="0" w:tplc="7CECD1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267876D7"/>
    <w:multiLevelType w:val="hybridMultilevel"/>
    <w:tmpl w:val="AA2604DE"/>
    <w:lvl w:ilvl="0" w:tplc="04160005">
      <w:start w:val="1"/>
      <w:numFmt w:val="bullet"/>
      <w:lvlText w:val=""/>
      <w:lvlJc w:val="left"/>
      <w:pPr>
        <w:ind w:left="4258" w:hanging="360"/>
      </w:pPr>
      <w:rPr>
        <w:rFonts w:ascii="Wingdings" w:hAnsi="Wingdings" w:hint="default"/>
      </w:rPr>
    </w:lvl>
    <w:lvl w:ilvl="1" w:tplc="04160003" w:tentative="1">
      <w:start w:val="1"/>
      <w:numFmt w:val="bullet"/>
      <w:lvlText w:val="o"/>
      <w:lvlJc w:val="left"/>
      <w:pPr>
        <w:ind w:left="4978" w:hanging="360"/>
      </w:pPr>
      <w:rPr>
        <w:rFonts w:ascii="Courier New" w:hAnsi="Courier New" w:cs="Courier New" w:hint="default"/>
      </w:rPr>
    </w:lvl>
    <w:lvl w:ilvl="2" w:tplc="04160005" w:tentative="1">
      <w:start w:val="1"/>
      <w:numFmt w:val="bullet"/>
      <w:lvlText w:val=""/>
      <w:lvlJc w:val="left"/>
      <w:pPr>
        <w:ind w:left="5698" w:hanging="360"/>
      </w:pPr>
      <w:rPr>
        <w:rFonts w:ascii="Wingdings" w:hAnsi="Wingdings" w:hint="default"/>
      </w:rPr>
    </w:lvl>
    <w:lvl w:ilvl="3" w:tplc="04160001" w:tentative="1">
      <w:start w:val="1"/>
      <w:numFmt w:val="bullet"/>
      <w:lvlText w:val=""/>
      <w:lvlJc w:val="left"/>
      <w:pPr>
        <w:ind w:left="6418" w:hanging="360"/>
      </w:pPr>
      <w:rPr>
        <w:rFonts w:ascii="Symbol" w:hAnsi="Symbol" w:hint="default"/>
      </w:rPr>
    </w:lvl>
    <w:lvl w:ilvl="4" w:tplc="04160003" w:tentative="1">
      <w:start w:val="1"/>
      <w:numFmt w:val="bullet"/>
      <w:lvlText w:val="o"/>
      <w:lvlJc w:val="left"/>
      <w:pPr>
        <w:ind w:left="7138" w:hanging="360"/>
      </w:pPr>
      <w:rPr>
        <w:rFonts w:ascii="Courier New" w:hAnsi="Courier New" w:cs="Courier New" w:hint="default"/>
      </w:rPr>
    </w:lvl>
    <w:lvl w:ilvl="5" w:tplc="04160005" w:tentative="1">
      <w:start w:val="1"/>
      <w:numFmt w:val="bullet"/>
      <w:lvlText w:val=""/>
      <w:lvlJc w:val="left"/>
      <w:pPr>
        <w:ind w:left="7858" w:hanging="360"/>
      </w:pPr>
      <w:rPr>
        <w:rFonts w:ascii="Wingdings" w:hAnsi="Wingdings" w:hint="default"/>
      </w:rPr>
    </w:lvl>
    <w:lvl w:ilvl="6" w:tplc="04160001" w:tentative="1">
      <w:start w:val="1"/>
      <w:numFmt w:val="bullet"/>
      <w:lvlText w:val=""/>
      <w:lvlJc w:val="left"/>
      <w:pPr>
        <w:ind w:left="8578" w:hanging="360"/>
      </w:pPr>
      <w:rPr>
        <w:rFonts w:ascii="Symbol" w:hAnsi="Symbol" w:hint="default"/>
      </w:rPr>
    </w:lvl>
    <w:lvl w:ilvl="7" w:tplc="04160003" w:tentative="1">
      <w:start w:val="1"/>
      <w:numFmt w:val="bullet"/>
      <w:lvlText w:val="o"/>
      <w:lvlJc w:val="left"/>
      <w:pPr>
        <w:ind w:left="9298" w:hanging="360"/>
      </w:pPr>
      <w:rPr>
        <w:rFonts w:ascii="Courier New" w:hAnsi="Courier New" w:cs="Courier New" w:hint="default"/>
      </w:rPr>
    </w:lvl>
    <w:lvl w:ilvl="8" w:tplc="04160005" w:tentative="1">
      <w:start w:val="1"/>
      <w:numFmt w:val="bullet"/>
      <w:lvlText w:val=""/>
      <w:lvlJc w:val="left"/>
      <w:pPr>
        <w:ind w:left="10018" w:hanging="360"/>
      </w:pPr>
      <w:rPr>
        <w:rFonts w:ascii="Wingdings" w:hAnsi="Wingdings" w:hint="default"/>
      </w:rPr>
    </w:lvl>
  </w:abstractNum>
  <w:abstractNum w:abstractNumId="4">
    <w:nsid w:val="2B662630"/>
    <w:multiLevelType w:val="hybridMultilevel"/>
    <w:tmpl w:val="765876C6"/>
    <w:lvl w:ilvl="0" w:tplc="D8782AA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nsid w:val="43013C95"/>
    <w:multiLevelType w:val="hybridMultilevel"/>
    <w:tmpl w:val="3BEC60CE"/>
    <w:lvl w:ilvl="0" w:tplc="EF5AE38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5B871324"/>
    <w:multiLevelType w:val="hybridMultilevel"/>
    <w:tmpl w:val="076C2D42"/>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nsid w:val="5C5D2711"/>
    <w:multiLevelType w:val="hybridMultilevel"/>
    <w:tmpl w:val="E60AD55A"/>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nsid w:val="64BC39A0"/>
    <w:multiLevelType w:val="hybridMultilevel"/>
    <w:tmpl w:val="CF800F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920096C"/>
    <w:multiLevelType w:val="hybridMultilevel"/>
    <w:tmpl w:val="8DB26942"/>
    <w:lvl w:ilvl="0" w:tplc="7E060B4A">
      <w:start w:val="1"/>
      <w:numFmt w:val="lowerLetter"/>
      <w:lvlText w:val="%1)"/>
      <w:lvlJc w:val="left"/>
      <w:pPr>
        <w:ind w:left="1068" w:hanging="360"/>
      </w:pPr>
      <w:rPr>
        <w:rFonts w:hint="default"/>
        <w:b w:val="0"/>
        <w:i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8"/>
  </w:num>
  <w:num w:numId="2">
    <w:abstractNumId w:val="3"/>
  </w:num>
  <w:num w:numId="3">
    <w:abstractNumId w:val="0"/>
  </w:num>
  <w:num w:numId="4">
    <w:abstractNumId w:val="7"/>
  </w:num>
  <w:num w:numId="5">
    <w:abstractNumId w:val="6"/>
  </w:num>
  <w:num w:numId="6">
    <w:abstractNumId w:val="2"/>
  </w:num>
  <w:num w:numId="7">
    <w:abstractNumId w:val="4"/>
  </w:num>
  <w:num w:numId="8">
    <w:abstractNumId w:val="5"/>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rsids>
    <w:rsidRoot w:val="0016418A"/>
    <w:rsid w:val="00013879"/>
    <w:rsid w:val="00052065"/>
    <w:rsid w:val="0006423A"/>
    <w:rsid w:val="00070634"/>
    <w:rsid w:val="00086520"/>
    <w:rsid w:val="0009478F"/>
    <w:rsid w:val="000A51CA"/>
    <w:rsid w:val="000A69E5"/>
    <w:rsid w:val="000E3FD3"/>
    <w:rsid w:val="001008AB"/>
    <w:rsid w:val="00115B28"/>
    <w:rsid w:val="00130E6F"/>
    <w:rsid w:val="0013440E"/>
    <w:rsid w:val="001360C3"/>
    <w:rsid w:val="00141545"/>
    <w:rsid w:val="00151BE0"/>
    <w:rsid w:val="001619F6"/>
    <w:rsid w:val="0016418A"/>
    <w:rsid w:val="00171334"/>
    <w:rsid w:val="001749CB"/>
    <w:rsid w:val="001961D6"/>
    <w:rsid w:val="001A1BDC"/>
    <w:rsid w:val="001A5D77"/>
    <w:rsid w:val="001B4366"/>
    <w:rsid w:val="001D4BD7"/>
    <w:rsid w:val="001F578E"/>
    <w:rsid w:val="00200322"/>
    <w:rsid w:val="00207342"/>
    <w:rsid w:val="0021277B"/>
    <w:rsid w:val="002202A0"/>
    <w:rsid w:val="00227BF3"/>
    <w:rsid w:val="00234AE4"/>
    <w:rsid w:val="0024758E"/>
    <w:rsid w:val="002916EE"/>
    <w:rsid w:val="002A118B"/>
    <w:rsid w:val="002B40F6"/>
    <w:rsid w:val="002B56F3"/>
    <w:rsid w:val="002C21EF"/>
    <w:rsid w:val="002C69ED"/>
    <w:rsid w:val="002C7454"/>
    <w:rsid w:val="002D467C"/>
    <w:rsid w:val="002D477D"/>
    <w:rsid w:val="002E6431"/>
    <w:rsid w:val="00310935"/>
    <w:rsid w:val="003214C1"/>
    <w:rsid w:val="00334E73"/>
    <w:rsid w:val="00356FA3"/>
    <w:rsid w:val="00367D80"/>
    <w:rsid w:val="003751CE"/>
    <w:rsid w:val="00395311"/>
    <w:rsid w:val="003A1708"/>
    <w:rsid w:val="003D3919"/>
    <w:rsid w:val="003E2F32"/>
    <w:rsid w:val="003E6127"/>
    <w:rsid w:val="003F4C2D"/>
    <w:rsid w:val="00412290"/>
    <w:rsid w:val="00457203"/>
    <w:rsid w:val="00461592"/>
    <w:rsid w:val="004738EA"/>
    <w:rsid w:val="004814FB"/>
    <w:rsid w:val="004844A6"/>
    <w:rsid w:val="004912EB"/>
    <w:rsid w:val="004C170F"/>
    <w:rsid w:val="004C7C44"/>
    <w:rsid w:val="0051125C"/>
    <w:rsid w:val="005211D4"/>
    <w:rsid w:val="005405FB"/>
    <w:rsid w:val="00566D5C"/>
    <w:rsid w:val="00577D23"/>
    <w:rsid w:val="005B12B3"/>
    <w:rsid w:val="005B152E"/>
    <w:rsid w:val="005B6557"/>
    <w:rsid w:val="005C37C5"/>
    <w:rsid w:val="005D381C"/>
    <w:rsid w:val="005D3D40"/>
    <w:rsid w:val="005F0B29"/>
    <w:rsid w:val="006072ED"/>
    <w:rsid w:val="00630765"/>
    <w:rsid w:val="00632F32"/>
    <w:rsid w:val="00634412"/>
    <w:rsid w:val="00635B9A"/>
    <w:rsid w:val="00652705"/>
    <w:rsid w:val="00661C2A"/>
    <w:rsid w:val="00690C42"/>
    <w:rsid w:val="006A48BB"/>
    <w:rsid w:val="006B2969"/>
    <w:rsid w:val="006C25E3"/>
    <w:rsid w:val="006C49FF"/>
    <w:rsid w:val="006D01C5"/>
    <w:rsid w:val="006F2D3A"/>
    <w:rsid w:val="00713F9D"/>
    <w:rsid w:val="00717FCC"/>
    <w:rsid w:val="00724281"/>
    <w:rsid w:val="00727813"/>
    <w:rsid w:val="00750DD5"/>
    <w:rsid w:val="00771DF2"/>
    <w:rsid w:val="00771E40"/>
    <w:rsid w:val="00786C46"/>
    <w:rsid w:val="007974C9"/>
    <w:rsid w:val="007A42B4"/>
    <w:rsid w:val="007A5B9C"/>
    <w:rsid w:val="007A6844"/>
    <w:rsid w:val="007C6914"/>
    <w:rsid w:val="007F3694"/>
    <w:rsid w:val="00814230"/>
    <w:rsid w:val="00821CE1"/>
    <w:rsid w:val="00847416"/>
    <w:rsid w:val="00861B8E"/>
    <w:rsid w:val="008649A1"/>
    <w:rsid w:val="00872C69"/>
    <w:rsid w:val="008B3551"/>
    <w:rsid w:val="008B35D9"/>
    <w:rsid w:val="008C2F0D"/>
    <w:rsid w:val="008F6B44"/>
    <w:rsid w:val="0093164B"/>
    <w:rsid w:val="00936634"/>
    <w:rsid w:val="00941110"/>
    <w:rsid w:val="00954698"/>
    <w:rsid w:val="00976D66"/>
    <w:rsid w:val="00981F3E"/>
    <w:rsid w:val="009938FE"/>
    <w:rsid w:val="009A3A5C"/>
    <w:rsid w:val="009A6AAD"/>
    <w:rsid w:val="009A7D3A"/>
    <w:rsid w:val="00A040FF"/>
    <w:rsid w:val="00A2080F"/>
    <w:rsid w:val="00A27C83"/>
    <w:rsid w:val="00A31EBD"/>
    <w:rsid w:val="00A61B30"/>
    <w:rsid w:val="00A65C51"/>
    <w:rsid w:val="00A81679"/>
    <w:rsid w:val="00AB6583"/>
    <w:rsid w:val="00AE6160"/>
    <w:rsid w:val="00AE6C83"/>
    <w:rsid w:val="00B521A6"/>
    <w:rsid w:val="00B52E6D"/>
    <w:rsid w:val="00B763F2"/>
    <w:rsid w:val="00B84B28"/>
    <w:rsid w:val="00B87EA9"/>
    <w:rsid w:val="00BB44AD"/>
    <w:rsid w:val="00BC432D"/>
    <w:rsid w:val="00BE4814"/>
    <w:rsid w:val="00BE6E0C"/>
    <w:rsid w:val="00BE7167"/>
    <w:rsid w:val="00C07CE6"/>
    <w:rsid w:val="00C21D2D"/>
    <w:rsid w:val="00C33111"/>
    <w:rsid w:val="00CA19EA"/>
    <w:rsid w:val="00CC4C9A"/>
    <w:rsid w:val="00D1506B"/>
    <w:rsid w:val="00D35CEC"/>
    <w:rsid w:val="00D44ADA"/>
    <w:rsid w:val="00D4527C"/>
    <w:rsid w:val="00D509B1"/>
    <w:rsid w:val="00D92D79"/>
    <w:rsid w:val="00D9615D"/>
    <w:rsid w:val="00DA3BC6"/>
    <w:rsid w:val="00DD177F"/>
    <w:rsid w:val="00DD4339"/>
    <w:rsid w:val="00DE7E0B"/>
    <w:rsid w:val="00E453FA"/>
    <w:rsid w:val="00E54DEE"/>
    <w:rsid w:val="00E66AF4"/>
    <w:rsid w:val="00E75FD6"/>
    <w:rsid w:val="00E76819"/>
    <w:rsid w:val="00E82269"/>
    <w:rsid w:val="00E83CA9"/>
    <w:rsid w:val="00E85DD5"/>
    <w:rsid w:val="00EB4831"/>
    <w:rsid w:val="00EB4DDE"/>
    <w:rsid w:val="00F102CA"/>
    <w:rsid w:val="00F14C92"/>
    <w:rsid w:val="00F33E11"/>
    <w:rsid w:val="00F420EA"/>
    <w:rsid w:val="00F4785E"/>
    <w:rsid w:val="00F52DF0"/>
    <w:rsid w:val="00F669A9"/>
    <w:rsid w:val="00F75CD7"/>
    <w:rsid w:val="00F8601B"/>
    <w:rsid w:val="00F917EE"/>
    <w:rsid w:val="00FC373D"/>
    <w:rsid w:val="00FC71C7"/>
    <w:rsid w:val="00FD468D"/>
    <w:rsid w:val="00FE2BC8"/>
    <w:rsid w:val="00FE7DF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6F3"/>
    <w:pPr>
      <w:widowControl w:val="0"/>
      <w:suppressAutoHyphens/>
      <w:spacing w:after="0" w:line="240" w:lineRule="auto"/>
    </w:pPr>
    <w:rPr>
      <w:rFonts w:ascii="Nimbus Roman No9 L" w:eastAsia="Bitstream Vera Sans" w:hAnsi="Nimbus Roman No9 L" w:cs="Times New Roman"/>
      <w:sz w:val="24"/>
      <w:szCs w:val="24"/>
      <w:lang w:val="en-US" w:eastAsia="pt-BR"/>
    </w:rPr>
  </w:style>
  <w:style w:type="paragraph" w:styleId="Ttulo3">
    <w:name w:val="heading 3"/>
    <w:basedOn w:val="Normal"/>
    <w:next w:val="Normal"/>
    <w:link w:val="Ttulo3Char"/>
    <w:uiPriority w:val="9"/>
    <w:semiHidden/>
    <w:unhideWhenUsed/>
    <w:qFormat/>
    <w:rsid w:val="008B35D9"/>
    <w:pPr>
      <w:keepNext/>
      <w:spacing w:before="240" w:after="60"/>
      <w:outlineLvl w:val="2"/>
    </w:pPr>
    <w:rPr>
      <w:rFonts w:asciiTheme="majorHAnsi" w:eastAsiaTheme="majorEastAsia" w:hAnsiTheme="majorHAnsi" w:cstheme="majorBidi"/>
      <w:b/>
      <w:bCs/>
      <w:sz w:val="26"/>
      <w:szCs w:val="26"/>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16418A"/>
    <w:pPr>
      <w:widowControl/>
      <w:tabs>
        <w:tab w:val="center" w:pos="4252"/>
        <w:tab w:val="right" w:pos="8504"/>
      </w:tabs>
      <w:suppressAutoHyphens w:val="0"/>
    </w:pPr>
    <w:rPr>
      <w:rFonts w:asciiTheme="minorHAnsi" w:eastAsiaTheme="minorHAnsi" w:hAnsiTheme="minorHAnsi" w:cstheme="minorBidi"/>
      <w:sz w:val="22"/>
      <w:szCs w:val="22"/>
      <w:lang w:val="pt-BR" w:eastAsia="en-US"/>
    </w:rPr>
  </w:style>
  <w:style w:type="character" w:customStyle="1" w:styleId="CabealhoChar">
    <w:name w:val="Cabeçalho Char"/>
    <w:basedOn w:val="Fontepargpadro"/>
    <w:link w:val="Cabealho"/>
    <w:uiPriority w:val="99"/>
    <w:semiHidden/>
    <w:rsid w:val="0016418A"/>
  </w:style>
  <w:style w:type="paragraph" w:styleId="Rodap">
    <w:name w:val="footer"/>
    <w:basedOn w:val="Normal"/>
    <w:link w:val="RodapChar"/>
    <w:uiPriority w:val="99"/>
    <w:semiHidden/>
    <w:unhideWhenUsed/>
    <w:rsid w:val="0016418A"/>
    <w:pPr>
      <w:widowControl/>
      <w:tabs>
        <w:tab w:val="center" w:pos="4252"/>
        <w:tab w:val="right" w:pos="8504"/>
      </w:tabs>
      <w:suppressAutoHyphens w:val="0"/>
    </w:pPr>
    <w:rPr>
      <w:rFonts w:asciiTheme="minorHAnsi" w:eastAsiaTheme="minorHAnsi" w:hAnsiTheme="minorHAnsi" w:cstheme="minorBidi"/>
      <w:sz w:val="22"/>
      <w:szCs w:val="22"/>
      <w:lang w:val="pt-BR" w:eastAsia="en-US"/>
    </w:rPr>
  </w:style>
  <w:style w:type="character" w:customStyle="1" w:styleId="RodapChar">
    <w:name w:val="Rodapé Char"/>
    <w:basedOn w:val="Fontepargpadro"/>
    <w:link w:val="Rodap"/>
    <w:uiPriority w:val="99"/>
    <w:semiHidden/>
    <w:rsid w:val="0016418A"/>
  </w:style>
  <w:style w:type="paragraph" w:styleId="Textodebalo">
    <w:name w:val="Balloon Text"/>
    <w:basedOn w:val="Normal"/>
    <w:link w:val="TextodebaloChar"/>
    <w:uiPriority w:val="99"/>
    <w:semiHidden/>
    <w:unhideWhenUsed/>
    <w:rsid w:val="0016418A"/>
    <w:rPr>
      <w:rFonts w:ascii="Tahoma" w:hAnsi="Tahoma" w:cs="Tahoma"/>
      <w:sz w:val="16"/>
      <w:szCs w:val="16"/>
    </w:rPr>
  </w:style>
  <w:style w:type="character" w:customStyle="1" w:styleId="TextodebaloChar">
    <w:name w:val="Texto de balão Char"/>
    <w:basedOn w:val="Fontepargpadro"/>
    <w:link w:val="Textodebalo"/>
    <w:uiPriority w:val="99"/>
    <w:semiHidden/>
    <w:rsid w:val="0016418A"/>
    <w:rPr>
      <w:rFonts w:ascii="Tahoma" w:hAnsi="Tahoma" w:cs="Tahoma"/>
      <w:sz w:val="16"/>
      <w:szCs w:val="16"/>
    </w:rPr>
  </w:style>
  <w:style w:type="character" w:customStyle="1" w:styleId="Ttulo3Char">
    <w:name w:val="Título 3 Char"/>
    <w:basedOn w:val="Fontepargpadro"/>
    <w:link w:val="Ttulo3"/>
    <w:uiPriority w:val="9"/>
    <w:semiHidden/>
    <w:rsid w:val="008B35D9"/>
    <w:rPr>
      <w:rFonts w:asciiTheme="majorHAnsi" w:eastAsiaTheme="majorEastAsia" w:hAnsiTheme="majorHAnsi" w:cstheme="majorBidi"/>
      <w:b/>
      <w:bCs/>
      <w:sz w:val="26"/>
      <w:szCs w:val="26"/>
      <w:lang w:val="en-US"/>
    </w:rPr>
  </w:style>
  <w:style w:type="paragraph" w:styleId="PargrafodaLista">
    <w:name w:val="List Paragraph"/>
    <w:basedOn w:val="Normal"/>
    <w:qFormat/>
    <w:rsid w:val="00070634"/>
    <w:pPr>
      <w:ind w:left="720"/>
      <w:contextualSpacing/>
    </w:pPr>
  </w:style>
  <w:style w:type="table" w:styleId="Tabelacomgrade">
    <w:name w:val="Table Grid"/>
    <w:basedOn w:val="Tabelanormal"/>
    <w:uiPriority w:val="59"/>
    <w:rsid w:val="00634412"/>
    <w:pPr>
      <w:spacing w:after="0" w:line="240" w:lineRule="auto"/>
    </w:pPr>
    <w:rPr>
      <w:rFonts w:ascii="Times New Roman" w:eastAsia="Times New Roman" w:hAnsi="Times New Roman" w:cs="Times New Roman"/>
      <w:sz w:val="20"/>
      <w:szCs w:val="20"/>
      <w:lang w:eastAsia="pt-B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emEspaamento">
    <w:name w:val="No Spacing"/>
    <w:uiPriority w:val="1"/>
    <w:qFormat/>
    <w:rsid w:val="00634412"/>
    <w:pPr>
      <w:suppressAutoHyphens/>
      <w:spacing w:after="0" w:line="240" w:lineRule="auto"/>
    </w:pPr>
    <w:rPr>
      <w:rFonts w:ascii="Calibri" w:eastAsia="Calibri" w:hAnsi="Calibri" w:cs="Calibri"/>
      <w:lang w:eastAsia="ar-SA"/>
    </w:rPr>
  </w:style>
  <w:style w:type="paragraph" w:customStyle="1" w:styleId="Default">
    <w:name w:val="Default"/>
    <w:rsid w:val="00FC373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4</Pages>
  <Words>1214</Words>
  <Characters>6561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Ronaldo</dc:creator>
  <cp:lastModifiedBy>adriana.araujo</cp:lastModifiedBy>
  <cp:revision>15</cp:revision>
  <cp:lastPrinted>2016-10-24T19:04:00Z</cp:lastPrinted>
  <dcterms:created xsi:type="dcterms:W3CDTF">2016-10-24T17:58:00Z</dcterms:created>
  <dcterms:modified xsi:type="dcterms:W3CDTF">2016-10-24T20:23:00Z</dcterms:modified>
</cp:coreProperties>
</file>