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05275E">
        <w:rPr>
          <w:rFonts w:ascii="Arial" w:hAnsi="Arial" w:cs="Arial"/>
          <w:sz w:val="22"/>
          <w:szCs w:val="22"/>
          <w:lang w:val="pt-BR"/>
        </w:rPr>
        <w:t>800 3376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7BF2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5275E">
        <w:rPr>
          <w:rFonts w:ascii="Arial" w:hAnsi="Arial" w:cs="Arial"/>
          <w:sz w:val="22"/>
          <w:szCs w:val="22"/>
          <w:lang w:val="pt-BR"/>
        </w:rPr>
        <w:t>1570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5275E">
        <w:rPr>
          <w:rFonts w:ascii="Arial" w:hAnsi="Arial" w:cs="Arial"/>
          <w:sz w:val="22"/>
          <w:szCs w:val="22"/>
          <w:lang w:val="pt-BR"/>
        </w:rPr>
        <w:t>NEUZA CRISTINA MARQUES DE FRANÇA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2016-11-01T13:37:00Z</cp:lastPrinted>
  <dcterms:created xsi:type="dcterms:W3CDTF">2016-11-01T13:38:00Z</dcterms:created>
  <dcterms:modified xsi:type="dcterms:W3CDTF">2016-11-01T13:38:00Z</dcterms:modified>
</cp:coreProperties>
</file>