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4E3FE8">
        <w:rPr>
          <w:rFonts w:ascii="Arial" w:hAnsi="Arial" w:cs="Arial"/>
          <w:sz w:val="22"/>
          <w:szCs w:val="22"/>
          <w:lang w:val="pt-BR"/>
        </w:rPr>
        <w:t>5886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E3FE8">
        <w:rPr>
          <w:rFonts w:ascii="Arial" w:hAnsi="Arial" w:cs="Arial"/>
          <w:sz w:val="22"/>
          <w:szCs w:val="22"/>
          <w:lang w:val="pt-BR"/>
        </w:rPr>
        <w:t>1685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E3FE8">
        <w:rPr>
          <w:rFonts w:ascii="Arial" w:hAnsi="Arial" w:cs="Arial"/>
          <w:sz w:val="22"/>
          <w:szCs w:val="22"/>
          <w:lang w:val="pt-BR"/>
        </w:rPr>
        <w:t>FLAVIO JOSE ROCHA TENORIO LISBOA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275C8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B44D0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2016-11-14T14:38:00Z</cp:lastPrinted>
  <dcterms:created xsi:type="dcterms:W3CDTF">2016-11-16T12:46:00Z</dcterms:created>
  <dcterms:modified xsi:type="dcterms:W3CDTF">2016-11-16T12:46:00Z</dcterms:modified>
</cp:coreProperties>
</file>