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7302B">
        <w:rPr>
          <w:rFonts w:ascii="Arial" w:hAnsi="Arial" w:cs="Arial"/>
          <w:sz w:val="22"/>
          <w:szCs w:val="22"/>
          <w:lang w:val="pt-BR"/>
        </w:rPr>
        <w:t>1800 10680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7302B">
        <w:rPr>
          <w:rFonts w:ascii="Arial" w:hAnsi="Arial" w:cs="Arial"/>
          <w:sz w:val="22"/>
          <w:szCs w:val="22"/>
          <w:lang w:val="pt-BR"/>
        </w:rPr>
        <w:t>1735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302B">
        <w:rPr>
          <w:rFonts w:ascii="Arial" w:hAnsi="Arial" w:cs="Arial"/>
          <w:sz w:val="22"/>
          <w:szCs w:val="22"/>
          <w:lang w:val="pt-BR"/>
        </w:rPr>
        <w:t>VALDIRLENE MARQUES DA ROCHA DUARTE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96830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4</cp:revision>
  <cp:lastPrinted>2016-11-28T16:06:00Z</cp:lastPrinted>
  <dcterms:created xsi:type="dcterms:W3CDTF">2016-11-28T15:58:00Z</dcterms:created>
  <dcterms:modified xsi:type="dcterms:W3CDTF">2016-11-28T16:06:00Z</dcterms:modified>
</cp:coreProperties>
</file>