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454" w:rsidRPr="006D1454" w:rsidRDefault="006D1454" w:rsidP="006D1454">
      <w:pPr>
        <w:spacing w:line="360" w:lineRule="auto"/>
        <w:rPr>
          <w:rFonts w:ascii="Arial" w:hAnsi="Arial" w:cs="Arial"/>
          <w:lang w:val="pt-BR"/>
        </w:rPr>
      </w:pPr>
    </w:p>
    <w:p w:rsidR="0083570E" w:rsidRPr="006D1454" w:rsidRDefault="00AF3E2B" w:rsidP="006D1454">
      <w:pPr>
        <w:spacing w:line="360" w:lineRule="auto"/>
        <w:rPr>
          <w:rFonts w:ascii="Arial" w:hAnsi="Arial" w:cs="Arial"/>
          <w:lang w:val="pt-BR"/>
        </w:rPr>
      </w:pPr>
      <w:r>
        <w:rPr>
          <w:rFonts w:ascii="Arial" w:hAnsi="Arial" w:cs="Arial"/>
          <w:lang w:val="pt-BR"/>
        </w:rPr>
        <w:t xml:space="preserve">Ref. Protocolo </w:t>
      </w:r>
      <w:proofErr w:type="spellStart"/>
      <w:r>
        <w:rPr>
          <w:rFonts w:ascii="Arial" w:hAnsi="Arial" w:cs="Arial"/>
          <w:lang w:val="pt-BR"/>
        </w:rPr>
        <w:t>e-SIC</w:t>
      </w:r>
      <w:proofErr w:type="spellEnd"/>
      <w:r>
        <w:rPr>
          <w:rFonts w:ascii="Arial" w:hAnsi="Arial" w:cs="Arial"/>
          <w:lang w:val="pt-BR"/>
        </w:rPr>
        <w:t xml:space="preserve">: </w:t>
      </w:r>
      <w:proofErr w:type="gramStart"/>
      <w:r>
        <w:rPr>
          <w:rFonts w:ascii="Arial" w:hAnsi="Arial" w:cs="Arial"/>
          <w:lang w:val="pt-BR"/>
        </w:rPr>
        <w:t>694</w:t>
      </w:r>
      <w:r w:rsidR="0083570E" w:rsidRPr="006D1454">
        <w:rPr>
          <w:rFonts w:ascii="Arial" w:hAnsi="Arial" w:cs="Arial"/>
          <w:lang w:val="pt-BR"/>
        </w:rPr>
        <w:t>/2016</w:t>
      </w:r>
      <w:proofErr w:type="gramEnd"/>
    </w:p>
    <w:p w:rsidR="0083570E" w:rsidRPr="006D1454" w:rsidRDefault="0083570E" w:rsidP="006D1454">
      <w:pPr>
        <w:spacing w:line="360" w:lineRule="auto"/>
        <w:rPr>
          <w:rFonts w:ascii="Arial" w:hAnsi="Arial" w:cs="Arial"/>
          <w:lang w:val="pt-BR"/>
        </w:rPr>
      </w:pPr>
      <w:r w:rsidRPr="006D1454">
        <w:rPr>
          <w:rFonts w:ascii="Arial" w:hAnsi="Arial" w:cs="Arial"/>
          <w:lang w:val="pt-BR"/>
        </w:rPr>
        <w:t>Interessado: Controladoria Geral do Estado</w:t>
      </w:r>
    </w:p>
    <w:p w:rsidR="0083570E" w:rsidRPr="006D1454" w:rsidRDefault="0083570E" w:rsidP="006D1454">
      <w:pPr>
        <w:spacing w:line="360" w:lineRule="auto"/>
        <w:rPr>
          <w:rFonts w:ascii="Arial" w:hAnsi="Arial" w:cs="Arial"/>
          <w:lang w:val="pt-BR"/>
        </w:rPr>
      </w:pPr>
      <w:r w:rsidRPr="006D1454">
        <w:rPr>
          <w:rFonts w:ascii="Arial" w:hAnsi="Arial" w:cs="Arial"/>
          <w:lang w:val="pt-BR"/>
        </w:rPr>
        <w:t>Assunto: Recurso – Pedido de Informação</w:t>
      </w:r>
    </w:p>
    <w:p w:rsidR="006D1454" w:rsidRPr="006D1454" w:rsidRDefault="006D1454" w:rsidP="00FF6932">
      <w:pPr>
        <w:jc w:val="both"/>
        <w:rPr>
          <w:rFonts w:ascii="Arial" w:hAnsi="Arial" w:cs="Arial"/>
          <w:lang w:val="pt-BR"/>
        </w:rPr>
      </w:pPr>
    </w:p>
    <w:p w:rsidR="00FF6932" w:rsidRPr="006D1454" w:rsidRDefault="0083570E" w:rsidP="00740B87">
      <w:pPr>
        <w:pBdr>
          <w:top w:val="single" w:sz="4" w:space="1" w:color="auto"/>
          <w:bottom w:val="single" w:sz="4" w:space="1" w:color="auto"/>
        </w:pBdr>
        <w:jc w:val="center"/>
        <w:rPr>
          <w:rFonts w:ascii="Arial" w:hAnsi="Arial" w:cs="Arial"/>
          <w:b/>
          <w:lang w:val="pt-BR"/>
        </w:rPr>
      </w:pPr>
      <w:r w:rsidRPr="006D1454">
        <w:rPr>
          <w:rFonts w:ascii="Arial" w:hAnsi="Arial" w:cs="Arial"/>
          <w:b/>
          <w:lang w:val="pt-BR"/>
        </w:rPr>
        <w:t>DESPACHO</w:t>
      </w:r>
    </w:p>
    <w:p w:rsidR="00305737" w:rsidRPr="006D1454" w:rsidRDefault="00305737" w:rsidP="00564770">
      <w:pPr>
        <w:suppressAutoHyphens w:val="0"/>
        <w:autoSpaceDE w:val="0"/>
        <w:autoSpaceDN w:val="0"/>
        <w:adjustRightInd w:val="0"/>
        <w:spacing w:line="360" w:lineRule="auto"/>
        <w:jc w:val="center"/>
        <w:rPr>
          <w:rFonts w:ascii="Arial" w:hAnsi="Arial" w:cs="Arial"/>
          <w:lang w:val="pt-BR"/>
        </w:rPr>
      </w:pPr>
    </w:p>
    <w:p w:rsidR="0083570E" w:rsidRPr="006D1454" w:rsidRDefault="0083570E" w:rsidP="0083570E">
      <w:pPr>
        <w:suppressAutoHyphens w:val="0"/>
        <w:autoSpaceDE w:val="0"/>
        <w:autoSpaceDN w:val="0"/>
        <w:adjustRightInd w:val="0"/>
        <w:spacing w:line="360" w:lineRule="auto"/>
        <w:ind w:firstLine="708"/>
        <w:jc w:val="both"/>
        <w:rPr>
          <w:rFonts w:ascii="Arial" w:hAnsi="Arial" w:cs="Arial"/>
          <w:lang w:val="pt-BR"/>
        </w:rPr>
      </w:pPr>
      <w:r w:rsidRPr="006D1454">
        <w:rPr>
          <w:rFonts w:ascii="Arial" w:hAnsi="Arial" w:cs="Arial"/>
          <w:lang w:val="pt-BR"/>
        </w:rPr>
        <w:t xml:space="preserve">Trata-se de solicitação de acesso à informação realizada pelo </w:t>
      </w:r>
      <w:r w:rsidR="00AF3E2B">
        <w:rPr>
          <w:rFonts w:ascii="Arial" w:hAnsi="Arial" w:cs="Arial"/>
          <w:lang w:val="pt-BR"/>
        </w:rPr>
        <w:t>Sr. Antônio Alves da Silva</w:t>
      </w:r>
      <w:r w:rsidRPr="006D1454">
        <w:rPr>
          <w:rFonts w:ascii="Arial" w:hAnsi="Arial" w:cs="Arial"/>
          <w:lang w:val="pt-BR"/>
        </w:rPr>
        <w:t xml:space="preserve">, em fase recursal, nos termos do art. 48, §1º, do Decreto nº </w:t>
      </w:r>
      <w:proofErr w:type="gramStart"/>
      <w:r w:rsidRPr="006D1454">
        <w:rPr>
          <w:rFonts w:ascii="Arial" w:hAnsi="Arial" w:cs="Arial"/>
          <w:lang w:val="pt-BR"/>
        </w:rPr>
        <w:t>26.320/2013, em face da resposta apresentada pela Secretaria de Estado da Fazenda SEFAZ</w:t>
      </w:r>
      <w:proofErr w:type="gramEnd"/>
      <w:r w:rsidRPr="006D1454">
        <w:rPr>
          <w:rFonts w:ascii="Arial" w:hAnsi="Arial" w:cs="Arial"/>
          <w:lang w:val="pt-BR"/>
        </w:rPr>
        <w:t xml:space="preserve"> ao pedido de informação autuado sob o número de protocolo </w:t>
      </w:r>
      <w:r w:rsidR="00AF3E2B">
        <w:rPr>
          <w:rFonts w:ascii="Arial" w:hAnsi="Arial" w:cs="Arial"/>
          <w:lang w:val="pt-BR"/>
        </w:rPr>
        <w:t>694</w:t>
      </w:r>
      <w:r w:rsidRPr="006D1454">
        <w:rPr>
          <w:rFonts w:ascii="Arial" w:hAnsi="Arial" w:cs="Arial"/>
          <w:lang w:val="pt-BR"/>
        </w:rPr>
        <w:t>/2016.</w:t>
      </w:r>
    </w:p>
    <w:p w:rsidR="006D1454" w:rsidRDefault="006D1454" w:rsidP="00A31EB2">
      <w:pPr>
        <w:suppressAutoHyphens w:val="0"/>
        <w:autoSpaceDE w:val="0"/>
        <w:autoSpaceDN w:val="0"/>
        <w:adjustRightInd w:val="0"/>
        <w:ind w:firstLine="708"/>
        <w:jc w:val="both"/>
        <w:rPr>
          <w:rFonts w:ascii="Arial" w:hAnsi="Arial" w:cs="Arial"/>
          <w:lang w:val="pt-BR"/>
        </w:rPr>
      </w:pPr>
    </w:p>
    <w:p w:rsidR="00A93960" w:rsidRPr="006D1454" w:rsidRDefault="006319B0" w:rsidP="0083570E">
      <w:pPr>
        <w:suppressAutoHyphens w:val="0"/>
        <w:autoSpaceDE w:val="0"/>
        <w:autoSpaceDN w:val="0"/>
        <w:adjustRightInd w:val="0"/>
        <w:spacing w:line="360" w:lineRule="auto"/>
        <w:ind w:firstLine="708"/>
        <w:jc w:val="both"/>
        <w:rPr>
          <w:rFonts w:ascii="Arial" w:hAnsi="Arial" w:cs="Arial"/>
          <w:lang w:val="pt-BR"/>
        </w:rPr>
      </w:pPr>
      <w:r>
        <w:rPr>
          <w:rFonts w:ascii="Arial" w:hAnsi="Arial" w:cs="Arial"/>
          <w:lang w:val="pt-BR"/>
        </w:rPr>
        <w:t xml:space="preserve">Em pedido inicial de acesso à informação, o </w:t>
      </w:r>
      <w:r w:rsidR="00AF3E2B">
        <w:rPr>
          <w:rFonts w:ascii="Arial" w:hAnsi="Arial" w:cs="Arial"/>
          <w:lang w:val="pt-BR"/>
        </w:rPr>
        <w:t>cidadão</w:t>
      </w:r>
      <w:r>
        <w:rPr>
          <w:rFonts w:ascii="Arial" w:hAnsi="Arial" w:cs="Arial"/>
          <w:lang w:val="pt-BR"/>
        </w:rPr>
        <w:t xml:space="preserve"> solicita:</w:t>
      </w:r>
    </w:p>
    <w:p w:rsidR="00A93960" w:rsidRPr="00AF3E2B" w:rsidRDefault="00A93960" w:rsidP="0083570E">
      <w:pPr>
        <w:suppressAutoHyphens w:val="0"/>
        <w:autoSpaceDE w:val="0"/>
        <w:autoSpaceDN w:val="0"/>
        <w:adjustRightInd w:val="0"/>
        <w:spacing w:line="360" w:lineRule="auto"/>
        <w:ind w:firstLine="708"/>
        <w:jc w:val="both"/>
        <w:rPr>
          <w:rFonts w:ascii="Arial" w:hAnsi="Arial" w:cs="Arial"/>
          <w:i/>
          <w:color w:val="000000"/>
          <w:sz w:val="20"/>
          <w:szCs w:val="20"/>
          <w:lang w:val="pt-BR"/>
        </w:rPr>
      </w:pPr>
      <w:r w:rsidRPr="00AF3E2B">
        <w:rPr>
          <w:rFonts w:ascii="Arial" w:hAnsi="Arial" w:cs="Arial"/>
          <w:i/>
          <w:color w:val="000000"/>
          <w:sz w:val="20"/>
          <w:szCs w:val="20"/>
          <w:lang w:val="pt-BR"/>
        </w:rPr>
        <w:t>“</w:t>
      </w:r>
      <w:r w:rsidR="00AF3E2B" w:rsidRPr="00AF3E2B">
        <w:rPr>
          <w:rFonts w:ascii="Arial" w:hAnsi="Arial" w:cs="Arial"/>
          <w:i/>
          <w:color w:val="000000"/>
          <w:sz w:val="20"/>
          <w:szCs w:val="20"/>
          <w:lang w:val="pt-BR"/>
        </w:rPr>
        <w:t xml:space="preserve">Na condição de cidadão e contribuinte do Estado de Alagoas, </w:t>
      </w:r>
      <w:r w:rsidR="00AF3E2B" w:rsidRPr="00AF3E2B">
        <w:rPr>
          <w:rFonts w:ascii="Arial" w:hAnsi="Arial" w:cs="Arial"/>
          <w:b/>
          <w:i/>
          <w:color w:val="000000"/>
          <w:sz w:val="20"/>
          <w:szCs w:val="20"/>
          <w:lang w:val="pt-BR"/>
        </w:rPr>
        <w:t xml:space="preserve">solicito as seguintes informações: a) Requeiro o extrato de pagamento dos últimos cinco anos, a partir de agosto de 2011, do Imposto de Circulação de Mercadorias e Serviços o qual incidiu nas tarifas de Transmissão de uso do sistema de transmissão e distribuição de energia elétrica (TUST e TUSD), bem como de encargo setoriais, ainda solicitamos que seja discriminado além do valor pago que seja </w:t>
      </w:r>
      <w:proofErr w:type="gramStart"/>
      <w:r w:rsidR="00AF3E2B" w:rsidRPr="00AF3E2B">
        <w:rPr>
          <w:rFonts w:ascii="Arial" w:hAnsi="Arial" w:cs="Arial"/>
          <w:b/>
          <w:i/>
          <w:color w:val="000000"/>
          <w:sz w:val="20"/>
          <w:szCs w:val="20"/>
          <w:lang w:val="pt-BR"/>
        </w:rPr>
        <w:t>apresentado</w:t>
      </w:r>
      <w:proofErr w:type="gramEnd"/>
      <w:r w:rsidR="00AF3E2B" w:rsidRPr="00AF3E2B">
        <w:rPr>
          <w:rFonts w:ascii="Arial" w:hAnsi="Arial" w:cs="Arial"/>
          <w:b/>
          <w:i/>
          <w:color w:val="000000"/>
          <w:sz w:val="20"/>
          <w:szCs w:val="20"/>
          <w:lang w:val="pt-BR"/>
        </w:rPr>
        <w:t xml:space="preserve"> sua base de cálculo.</w:t>
      </w:r>
      <w:r w:rsidR="00AF3E2B" w:rsidRPr="00AF3E2B">
        <w:rPr>
          <w:rFonts w:ascii="Arial" w:hAnsi="Arial" w:cs="Arial"/>
          <w:i/>
          <w:color w:val="000000"/>
          <w:sz w:val="20"/>
          <w:szCs w:val="20"/>
          <w:lang w:val="pt-BR"/>
        </w:rPr>
        <w:t xml:space="preserve"> Contribuinte: Antonio Alves da Silva CPF 723.675.804-30 RG 1037466 SSP AL </w:t>
      </w:r>
      <w:proofErr w:type="spellStart"/>
      <w:r w:rsidR="00AF3E2B" w:rsidRPr="00AF3E2B">
        <w:rPr>
          <w:rFonts w:ascii="Arial" w:hAnsi="Arial" w:cs="Arial"/>
          <w:i/>
          <w:color w:val="000000"/>
          <w:sz w:val="20"/>
          <w:szCs w:val="20"/>
          <w:lang w:val="pt-BR"/>
        </w:rPr>
        <w:t>Nr</w:t>
      </w:r>
      <w:proofErr w:type="spellEnd"/>
      <w:r w:rsidR="00AF3E2B" w:rsidRPr="00AF3E2B">
        <w:rPr>
          <w:rFonts w:ascii="Arial" w:hAnsi="Arial" w:cs="Arial"/>
          <w:i/>
          <w:color w:val="000000"/>
          <w:sz w:val="20"/>
          <w:szCs w:val="20"/>
          <w:lang w:val="pt-BR"/>
        </w:rPr>
        <w:t xml:space="preserve"> da Unidade Consumidora : 0834112-5 / </w:t>
      </w:r>
      <w:proofErr w:type="spellStart"/>
      <w:r w:rsidR="00AF3E2B" w:rsidRPr="00AF3E2B">
        <w:rPr>
          <w:rFonts w:ascii="Arial" w:hAnsi="Arial" w:cs="Arial"/>
          <w:i/>
          <w:color w:val="000000"/>
          <w:sz w:val="20"/>
          <w:szCs w:val="20"/>
          <w:lang w:val="pt-BR"/>
        </w:rPr>
        <w:t>Eletrobras</w:t>
      </w:r>
      <w:proofErr w:type="spellEnd"/>
      <w:r w:rsidR="00AF3E2B" w:rsidRPr="00AF3E2B">
        <w:rPr>
          <w:rFonts w:ascii="Arial" w:hAnsi="Arial" w:cs="Arial"/>
          <w:i/>
          <w:color w:val="000000"/>
          <w:sz w:val="20"/>
          <w:szCs w:val="20"/>
          <w:lang w:val="pt-BR"/>
        </w:rPr>
        <w:t xml:space="preserve"> AL</w:t>
      </w:r>
      <w:r w:rsidRPr="00AF3E2B">
        <w:rPr>
          <w:rFonts w:ascii="Arial" w:hAnsi="Arial" w:cs="Arial"/>
          <w:i/>
          <w:color w:val="000000"/>
          <w:sz w:val="20"/>
          <w:szCs w:val="20"/>
          <w:lang w:val="pt-BR"/>
        </w:rPr>
        <w:t>”</w:t>
      </w:r>
    </w:p>
    <w:p w:rsidR="00A93960" w:rsidRPr="006D1454" w:rsidRDefault="00A93960" w:rsidP="00A31EB2">
      <w:pPr>
        <w:suppressAutoHyphens w:val="0"/>
        <w:autoSpaceDE w:val="0"/>
        <w:autoSpaceDN w:val="0"/>
        <w:adjustRightInd w:val="0"/>
        <w:ind w:firstLine="708"/>
        <w:jc w:val="both"/>
        <w:rPr>
          <w:rFonts w:ascii="Arial" w:hAnsi="Arial" w:cs="Arial"/>
          <w:color w:val="000000"/>
          <w:lang w:val="pt-BR"/>
        </w:rPr>
      </w:pPr>
      <w:r w:rsidRPr="006D1454">
        <w:rPr>
          <w:rFonts w:ascii="Arial" w:hAnsi="Arial" w:cs="Arial"/>
          <w:color w:val="000000"/>
          <w:lang w:val="pt-BR"/>
        </w:rPr>
        <w:t xml:space="preserve"> </w:t>
      </w:r>
    </w:p>
    <w:p w:rsidR="0083570E" w:rsidRDefault="00A31EB2" w:rsidP="0083570E">
      <w:pPr>
        <w:suppressAutoHyphens w:val="0"/>
        <w:autoSpaceDE w:val="0"/>
        <w:autoSpaceDN w:val="0"/>
        <w:adjustRightInd w:val="0"/>
        <w:spacing w:line="360" w:lineRule="auto"/>
        <w:ind w:firstLine="708"/>
        <w:jc w:val="both"/>
        <w:rPr>
          <w:rFonts w:ascii="Arial" w:hAnsi="Arial" w:cs="Arial"/>
          <w:lang w:val="pt-BR"/>
        </w:rPr>
      </w:pPr>
      <w:r>
        <w:rPr>
          <w:rFonts w:ascii="Arial" w:hAnsi="Arial" w:cs="Arial"/>
          <w:lang w:val="pt-BR"/>
        </w:rPr>
        <w:t>Em resposta ao pedido de acesso</w:t>
      </w:r>
      <w:r w:rsidR="008B6762">
        <w:rPr>
          <w:rFonts w:ascii="Arial" w:hAnsi="Arial" w:cs="Arial"/>
          <w:lang w:val="pt-BR"/>
        </w:rPr>
        <w:t>,</w:t>
      </w:r>
      <w:r>
        <w:rPr>
          <w:rFonts w:ascii="Arial" w:hAnsi="Arial" w:cs="Arial"/>
          <w:lang w:val="pt-BR"/>
        </w:rPr>
        <w:t xml:space="preserve"> </w:t>
      </w:r>
      <w:r w:rsidR="000D33AC" w:rsidRPr="006D1454">
        <w:rPr>
          <w:rFonts w:ascii="Arial" w:hAnsi="Arial" w:cs="Arial"/>
          <w:lang w:val="pt-BR"/>
        </w:rPr>
        <w:t>a SEFAZ</w:t>
      </w:r>
      <w:r>
        <w:rPr>
          <w:rFonts w:ascii="Arial" w:hAnsi="Arial" w:cs="Arial"/>
          <w:lang w:val="pt-BR"/>
        </w:rPr>
        <w:t xml:space="preserve"> </w:t>
      </w:r>
      <w:r w:rsidR="00AF3E2B">
        <w:rPr>
          <w:rFonts w:ascii="Arial" w:hAnsi="Arial" w:cs="Arial"/>
          <w:lang w:val="pt-BR"/>
        </w:rPr>
        <w:t>informa:</w:t>
      </w:r>
    </w:p>
    <w:p w:rsidR="00AF3E2B" w:rsidRDefault="00051882" w:rsidP="000D33AC">
      <w:pPr>
        <w:suppressAutoHyphens w:val="0"/>
        <w:autoSpaceDE w:val="0"/>
        <w:autoSpaceDN w:val="0"/>
        <w:adjustRightInd w:val="0"/>
        <w:spacing w:line="360" w:lineRule="auto"/>
        <w:ind w:firstLine="709"/>
        <w:jc w:val="both"/>
        <w:rPr>
          <w:rFonts w:ascii="Arial" w:hAnsi="Arial" w:cs="Arial"/>
          <w:i/>
          <w:sz w:val="20"/>
          <w:szCs w:val="20"/>
          <w:lang w:val="pt-BR"/>
        </w:rPr>
      </w:pPr>
      <w:proofErr w:type="gramStart"/>
      <w:r>
        <w:rPr>
          <w:rFonts w:ascii="Arial" w:hAnsi="Arial" w:cs="Arial"/>
          <w:i/>
          <w:sz w:val="20"/>
          <w:szCs w:val="20"/>
          <w:lang w:val="pt-BR"/>
        </w:rPr>
        <w:t>“</w:t>
      </w:r>
      <w:r w:rsidR="00AF3E2B">
        <w:rPr>
          <w:rFonts w:ascii="Arial" w:hAnsi="Arial" w:cs="Arial"/>
          <w:i/>
          <w:sz w:val="20"/>
          <w:szCs w:val="20"/>
          <w:lang w:val="pt-BR"/>
        </w:rPr>
        <w:t>As informações prestadas ao fisco</w:t>
      </w:r>
      <w:proofErr w:type="gramEnd"/>
      <w:r w:rsidR="00AF3E2B">
        <w:rPr>
          <w:rFonts w:ascii="Arial" w:hAnsi="Arial" w:cs="Arial"/>
          <w:i/>
          <w:sz w:val="20"/>
          <w:szCs w:val="20"/>
          <w:lang w:val="pt-BR"/>
        </w:rPr>
        <w:t xml:space="preserve"> estadual a respeito das operações de venda de energia elétrica são feitas com base no Convênio ICMS 115/03, e que os valores da TUST, TUSD e encargos setoriais por não subsistirem individualmente não são calculados, cobrados, e informados separadamente da energia elétrica, haja vista comporem o custo do seu fornecimento.</w:t>
      </w:r>
    </w:p>
    <w:p w:rsidR="006319B0" w:rsidRPr="00FE49EE" w:rsidRDefault="00AF3E2B" w:rsidP="000D33AC">
      <w:pPr>
        <w:suppressAutoHyphens w:val="0"/>
        <w:autoSpaceDE w:val="0"/>
        <w:autoSpaceDN w:val="0"/>
        <w:adjustRightInd w:val="0"/>
        <w:spacing w:line="360" w:lineRule="auto"/>
        <w:ind w:firstLine="709"/>
        <w:jc w:val="both"/>
        <w:rPr>
          <w:rFonts w:ascii="Arial" w:hAnsi="Arial" w:cs="Arial"/>
          <w:i/>
          <w:color w:val="000000"/>
          <w:sz w:val="20"/>
          <w:szCs w:val="20"/>
          <w:lang w:val="pt-BR"/>
        </w:rPr>
      </w:pPr>
      <w:proofErr w:type="gramStart"/>
      <w:r>
        <w:rPr>
          <w:rFonts w:ascii="Arial" w:hAnsi="Arial" w:cs="Arial"/>
          <w:i/>
          <w:sz w:val="20"/>
          <w:szCs w:val="20"/>
          <w:lang w:val="pt-BR"/>
        </w:rPr>
        <w:t>Diante do exposto, responde-se que tais valores não estão disponíveis para a Secretaria da Fazenda, não sendo possível atender o pleito do solicitante</w:t>
      </w:r>
      <w:r w:rsidR="00A31EB2" w:rsidRPr="00FE49EE">
        <w:rPr>
          <w:rFonts w:ascii="Arial" w:hAnsi="Arial" w:cs="Arial"/>
          <w:i/>
          <w:color w:val="000000"/>
          <w:sz w:val="20"/>
          <w:szCs w:val="20"/>
          <w:lang w:val="pt-BR"/>
        </w:rPr>
        <w:t>”</w:t>
      </w:r>
      <w:proofErr w:type="gramEnd"/>
      <w:r w:rsidR="00A31EB2" w:rsidRPr="00FE49EE">
        <w:rPr>
          <w:rFonts w:ascii="Arial" w:hAnsi="Arial" w:cs="Arial"/>
          <w:i/>
          <w:color w:val="000000"/>
          <w:sz w:val="20"/>
          <w:szCs w:val="20"/>
          <w:lang w:val="pt-BR"/>
        </w:rPr>
        <w:t xml:space="preserve">. </w:t>
      </w:r>
    </w:p>
    <w:p w:rsidR="00A31EB2" w:rsidRDefault="00A31EB2" w:rsidP="00A31EB2">
      <w:pPr>
        <w:suppressAutoHyphens w:val="0"/>
        <w:autoSpaceDE w:val="0"/>
        <w:autoSpaceDN w:val="0"/>
        <w:adjustRightInd w:val="0"/>
        <w:ind w:firstLine="709"/>
        <w:jc w:val="both"/>
        <w:rPr>
          <w:rFonts w:ascii="Arial" w:hAnsi="Arial" w:cs="Arial"/>
          <w:i/>
          <w:color w:val="000000"/>
          <w:lang w:val="pt-BR"/>
        </w:rPr>
      </w:pPr>
    </w:p>
    <w:p w:rsidR="006319B0" w:rsidRDefault="00A31EB2" w:rsidP="000D33AC">
      <w:pPr>
        <w:suppressAutoHyphens w:val="0"/>
        <w:autoSpaceDE w:val="0"/>
        <w:autoSpaceDN w:val="0"/>
        <w:adjustRightInd w:val="0"/>
        <w:spacing w:line="360" w:lineRule="auto"/>
        <w:ind w:firstLine="709"/>
        <w:jc w:val="both"/>
        <w:rPr>
          <w:rFonts w:ascii="Arial" w:hAnsi="Arial" w:cs="Arial"/>
          <w:color w:val="000000"/>
          <w:lang w:val="pt-BR"/>
        </w:rPr>
      </w:pPr>
      <w:r>
        <w:rPr>
          <w:rFonts w:ascii="Arial" w:hAnsi="Arial" w:cs="Arial"/>
          <w:color w:val="000000"/>
          <w:lang w:val="pt-BR"/>
        </w:rPr>
        <w:t xml:space="preserve">Não obstante, </w:t>
      </w:r>
      <w:r w:rsidR="006319B0" w:rsidRPr="006319B0">
        <w:rPr>
          <w:rFonts w:ascii="Arial" w:hAnsi="Arial" w:cs="Arial"/>
          <w:color w:val="000000"/>
          <w:lang w:val="pt-BR"/>
        </w:rPr>
        <w:t>o rec</w:t>
      </w:r>
      <w:r>
        <w:rPr>
          <w:rFonts w:ascii="Arial" w:hAnsi="Arial" w:cs="Arial"/>
          <w:color w:val="000000"/>
          <w:lang w:val="pt-BR"/>
        </w:rPr>
        <w:t xml:space="preserve">orrente apresentou recurso </w:t>
      </w:r>
      <w:r w:rsidR="008B6762">
        <w:rPr>
          <w:rFonts w:ascii="Arial" w:hAnsi="Arial" w:cs="Arial"/>
          <w:color w:val="000000"/>
          <w:lang w:val="pt-BR"/>
        </w:rPr>
        <w:t>contra a negativa de acesso à informação,</w:t>
      </w:r>
      <w:r>
        <w:rPr>
          <w:rFonts w:ascii="Arial" w:hAnsi="Arial" w:cs="Arial"/>
          <w:color w:val="000000"/>
          <w:lang w:val="pt-BR"/>
        </w:rPr>
        <w:t xml:space="preserve"> </w:t>
      </w:r>
      <w:r w:rsidR="00051882">
        <w:rPr>
          <w:rFonts w:ascii="Arial" w:hAnsi="Arial" w:cs="Arial"/>
          <w:color w:val="000000"/>
          <w:lang w:val="pt-BR"/>
        </w:rPr>
        <w:t>solicitando a efetiva prestação de informações, alegando</w:t>
      </w:r>
      <w:proofErr w:type="gramStart"/>
      <w:r w:rsidR="00051882">
        <w:rPr>
          <w:rFonts w:ascii="Arial" w:hAnsi="Arial" w:cs="Arial"/>
          <w:color w:val="000000"/>
          <w:lang w:val="pt-BR"/>
        </w:rPr>
        <w:t xml:space="preserve"> </w:t>
      </w:r>
      <w:r>
        <w:rPr>
          <w:rFonts w:ascii="Arial" w:hAnsi="Arial" w:cs="Arial"/>
          <w:color w:val="000000"/>
          <w:lang w:val="pt-BR"/>
        </w:rPr>
        <w:t xml:space="preserve"> </w:t>
      </w:r>
      <w:proofErr w:type="gramEnd"/>
      <w:r>
        <w:rPr>
          <w:rFonts w:ascii="Arial" w:hAnsi="Arial" w:cs="Arial"/>
          <w:color w:val="000000"/>
          <w:lang w:val="pt-BR"/>
        </w:rPr>
        <w:t>o</w:t>
      </w:r>
      <w:r w:rsidR="008B6762">
        <w:rPr>
          <w:rFonts w:ascii="Arial" w:hAnsi="Arial" w:cs="Arial"/>
          <w:color w:val="000000"/>
          <w:lang w:val="pt-BR"/>
        </w:rPr>
        <w:t>s</w:t>
      </w:r>
      <w:r>
        <w:rPr>
          <w:rFonts w:ascii="Arial" w:hAnsi="Arial" w:cs="Arial"/>
          <w:color w:val="000000"/>
          <w:lang w:val="pt-BR"/>
        </w:rPr>
        <w:t xml:space="preserve"> seguinte</w:t>
      </w:r>
      <w:r w:rsidR="008B6762">
        <w:rPr>
          <w:rFonts w:ascii="Arial" w:hAnsi="Arial" w:cs="Arial"/>
          <w:color w:val="000000"/>
          <w:lang w:val="pt-BR"/>
        </w:rPr>
        <w:t>s fatos</w:t>
      </w:r>
      <w:r>
        <w:rPr>
          <w:rFonts w:ascii="Arial" w:hAnsi="Arial" w:cs="Arial"/>
          <w:color w:val="000000"/>
          <w:lang w:val="pt-BR"/>
        </w:rPr>
        <w:t>:</w:t>
      </w:r>
    </w:p>
    <w:p w:rsidR="00A31EB2" w:rsidRDefault="006319B0" w:rsidP="00051882">
      <w:pPr>
        <w:suppressAutoHyphens w:val="0"/>
        <w:autoSpaceDE w:val="0"/>
        <w:autoSpaceDN w:val="0"/>
        <w:adjustRightInd w:val="0"/>
        <w:spacing w:line="360" w:lineRule="auto"/>
        <w:ind w:firstLine="709"/>
        <w:jc w:val="both"/>
        <w:rPr>
          <w:rFonts w:ascii="Arial" w:hAnsi="Arial" w:cs="Arial"/>
          <w:i/>
          <w:sz w:val="20"/>
          <w:szCs w:val="20"/>
          <w:lang w:val="pt-BR"/>
        </w:rPr>
      </w:pPr>
      <w:r w:rsidRPr="00FE49EE">
        <w:rPr>
          <w:rFonts w:ascii="Arial" w:hAnsi="Arial" w:cs="Arial"/>
          <w:i/>
          <w:sz w:val="20"/>
          <w:szCs w:val="20"/>
          <w:lang w:val="pt-BR"/>
        </w:rPr>
        <w:t>“</w:t>
      </w:r>
      <w:r w:rsidR="00051882" w:rsidRPr="00051882">
        <w:rPr>
          <w:rFonts w:ascii="Arial" w:hAnsi="Arial" w:cs="Arial"/>
          <w:i/>
          <w:sz w:val="20"/>
          <w:szCs w:val="20"/>
          <w:lang w:val="pt-BR"/>
        </w:rPr>
        <w:t xml:space="preserve">Prezados, Neste expediente, venho apresentar, cordialmente, minha </w:t>
      </w:r>
      <w:proofErr w:type="spellStart"/>
      <w:r w:rsidR="00051882" w:rsidRPr="00051882">
        <w:rPr>
          <w:rFonts w:ascii="Arial" w:hAnsi="Arial" w:cs="Arial"/>
          <w:i/>
          <w:sz w:val="20"/>
          <w:szCs w:val="20"/>
          <w:lang w:val="pt-BR"/>
        </w:rPr>
        <w:t>irresignação</w:t>
      </w:r>
      <w:proofErr w:type="spellEnd"/>
      <w:r w:rsidR="00051882" w:rsidRPr="00051882">
        <w:rPr>
          <w:rFonts w:ascii="Arial" w:hAnsi="Arial" w:cs="Arial"/>
          <w:i/>
          <w:sz w:val="20"/>
          <w:szCs w:val="20"/>
          <w:lang w:val="pt-BR"/>
        </w:rPr>
        <w:t xml:space="preserve"> diante despacho GMIF nº 0680/2016, pois não nos foram disponibilizados os valores pagos a título de ICMS no período de </w:t>
      </w:r>
      <w:proofErr w:type="gramStart"/>
      <w:r w:rsidR="00051882" w:rsidRPr="00051882">
        <w:rPr>
          <w:rFonts w:ascii="Arial" w:hAnsi="Arial" w:cs="Arial"/>
          <w:i/>
          <w:sz w:val="20"/>
          <w:szCs w:val="20"/>
          <w:lang w:val="pt-BR"/>
        </w:rPr>
        <w:t>5</w:t>
      </w:r>
      <w:proofErr w:type="gramEnd"/>
      <w:r w:rsidR="00051882" w:rsidRPr="00051882">
        <w:rPr>
          <w:rFonts w:ascii="Arial" w:hAnsi="Arial" w:cs="Arial"/>
          <w:i/>
          <w:sz w:val="20"/>
          <w:szCs w:val="20"/>
          <w:lang w:val="pt-BR"/>
        </w:rPr>
        <w:t xml:space="preserve">(cinco) anos anterior à solicitação de informação, no que tange a base de cálculo do ICMS da conta de Energia elétrica. Considerando que o Fisco alegou impossibilidade de prestar informações de forma </w:t>
      </w:r>
      <w:r w:rsidR="00051882" w:rsidRPr="00051882">
        <w:rPr>
          <w:rFonts w:ascii="Arial" w:hAnsi="Arial" w:cs="Arial"/>
          <w:i/>
          <w:sz w:val="20"/>
          <w:szCs w:val="20"/>
          <w:lang w:val="pt-BR"/>
        </w:rPr>
        <w:lastRenderedPageBreak/>
        <w:t xml:space="preserve">individualizada quanto à TUST e TUSD nesta oportunidade, solicitamos que nos sejam disponibilizados os valores pagos integralmente. Ademais, no que tange a alegação de que as informações não estão disponíveis na SEFAZ, solicitamos que de Ofício sejam providenciados as informações onde quer que elas estejam na Administração Pública afetada ao Estado de Alagoas, conforme legislação abaixo citada. Vejamos: LEI N.º 6.161, DE 26 DE JUNHO DE 2000 Art. 37. Quando o interessado declarar que fatos e dados estão registrados em documentos existentes na própria Administração responsável pelo processo ou em outro órgão administrativo, o órgão competente para a instrução proverá, de ofício, à obtenção dos documentos ou das respectivas cópias. </w:t>
      </w:r>
      <w:r w:rsidR="00051882" w:rsidRPr="00051882">
        <w:rPr>
          <w:rFonts w:ascii="Arial" w:hAnsi="Arial" w:cs="Arial"/>
          <w:b/>
          <w:i/>
          <w:sz w:val="20"/>
          <w:szCs w:val="20"/>
          <w:lang w:val="pt-BR"/>
        </w:rPr>
        <w:t xml:space="preserve">Diante de todo o arrazoado, solicitamos a efetiva prestação de informações </w:t>
      </w:r>
      <w:r w:rsidR="00051882" w:rsidRPr="00051882">
        <w:rPr>
          <w:rFonts w:ascii="Arial" w:hAnsi="Arial" w:cs="Arial"/>
          <w:i/>
          <w:sz w:val="20"/>
          <w:szCs w:val="20"/>
          <w:lang w:val="pt-BR"/>
        </w:rPr>
        <w:t xml:space="preserve">sem qualquer forma de </w:t>
      </w:r>
      <w:proofErr w:type="spellStart"/>
      <w:r w:rsidR="00051882" w:rsidRPr="00051882">
        <w:rPr>
          <w:rFonts w:ascii="Arial" w:hAnsi="Arial" w:cs="Arial"/>
          <w:i/>
          <w:sz w:val="20"/>
          <w:szCs w:val="20"/>
          <w:lang w:val="pt-BR"/>
        </w:rPr>
        <w:t>arrodeios</w:t>
      </w:r>
      <w:proofErr w:type="spellEnd"/>
      <w:r w:rsidR="00051882" w:rsidRPr="00051882">
        <w:rPr>
          <w:rFonts w:ascii="Arial" w:hAnsi="Arial" w:cs="Arial"/>
          <w:i/>
          <w:sz w:val="20"/>
          <w:szCs w:val="20"/>
          <w:lang w:val="pt-BR"/>
        </w:rPr>
        <w:t xml:space="preserve"> ou evasivas, sob pena de representação por improbidade administrativa de abertura de processo disciplinar. </w:t>
      </w:r>
      <w:proofErr w:type="spellStart"/>
      <w:r w:rsidR="00051882" w:rsidRPr="00051882">
        <w:rPr>
          <w:rFonts w:ascii="Arial" w:hAnsi="Arial" w:cs="Arial"/>
          <w:i/>
          <w:sz w:val="20"/>
          <w:szCs w:val="20"/>
          <w:lang w:val="pt-BR"/>
        </w:rPr>
        <w:t>Termos</w:t>
      </w:r>
      <w:proofErr w:type="spellEnd"/>
      <w:r w:rsidR="00051882" w:rsidRPr="00051882">
        <w:rPr>
          <w:rFonts w:ascii="Arial" w:hAnsi="Arial" w:cs="Arial"/>
          <w:i/>
          <w:sz w:val="20"/>
          <w:szCs w:val="20"/>
          <w:lang w:val="pt-BR"/>
        </w:rPr>
        <w:t xml:space="preserve"> </w:t>
      </w:r>
      <w:proofErr w:type="spellStart"/>
      <w:r w:rsidR="00051882" w:rsidRPr="00051882">
        <w:rPr>
          <w:rFonts w:ascii="Arial" w:hAnsi="Arial" w:cs="Arial"/>
          <w:i/>
          <w:sz w:val="20"/>
          <w:szCs w:val="20"/>
          <w:lang w:val="pt-BR"/>
        </w:rPr>
        <w:t>em</w:t>
      </w:r>
      <w:proofErr w:type="spellEnd"/>
      <w:r w:rsidR="00051882" w:rsidRPr="00051882">
        <w:rPr>
          <w:rFonts w:ascii="Arial" w:hAnsi="Arial" w:cs="Arial"/>
          <w:i/>
          <w:sz w:val="20"/>
          <w:szCs w:val="20"/>
          <w:lang w:val="pt-BR"/>
        </w:rPr>
        <w:t xml:space="preserve"> </w:t>
      </w:r>
      <w:proofErr w:type="spellStart"/>
      <w:r w:rsidR="00051882" w:rsidRPr="00051882">
        <w:rPr>
          <w:rFonts w:ascii="Arial" w:hAnsi="Arial" w:cs="Arial"/>
          <w:i/>
          <w:sz w:val="20"/>
          <w:szCs w:val="20"/>
          <w:lang w:val="pt-BR"/>
        </w:rPr>
        <w:t>que</w:t>
      </w:r>
      <w:proofErr w:type="spellEnd"/>
      <w:r w:rsidR="00051882" w:rsidRPr="00051882">
        <w:rPr>
          <w:rFonts w:ascii="Arial" w:hAnsi="Arial" w:cs="Arial"/>
          <w:i/>
          <w:sz w:val="20"/>
          <w:szCs w:val="20"/>
          <w:lang w:val="pt-BR"/>
        </w:rPr>
        <w:t xml:space="preserve"> </w:t>
      </w:r>
      <w:proofErr w:type="spellStart"/>
      <w:r w:rsidR="00051882" w:rsidRPr="00051882">
        <w:rPr>
          <w:rFonts w:ascii="Arial" w:hAnsi="Arial" w:cs="Arial"/>
          <w:i/>
          <w:sz w:val="20"/>
          <w:szCs w:val="20"/>
          <w:lang w:val="pt-BR"/>
        </w:rPr>
        <w:t>pede</w:t>
      </w:r>
      <w:proofErr w:type="spellEnd"/>
      <w:r w:rsidR="00051882" w:rsidRPr="00051882">
        <w:rPr>
          <w:rFonts w:ascii="Arial" w:hAnsi="Arial" w:cs="Arial"/>
          <w:i/>
          <w:sz w:val="20"/>
          <w:szCs w:val="20"/>
          <w:lang w:val="pt-BR"/>
        </w:rPr>
        <w:t xml:space="preserve"> </w:t>
      </w:r>
      <w:proofErr w:type="spellStart"/>
      <w:r w:rsidR="00051882" w:rsidRPr="00051882">
        <w:rPr>
          <w:rFonts w:ascii="Arial" w:hAnsi="Arial" w:cs="Arial"/>
          <w:i/>
          <w:sz w:val="20"/>
          <w:szCs w:val="20"/>
          <w:lang w:val="pt-BR"/>
        </w:rPr>
        <w:t>deferimento</w:t>
      </w:r>
      <w:proofErr w:type="spellEnd"/>
      <w:r w:rsidR="00FE49EE">
        <w:rPr>
          <w:rFonts w:ascii="Arial" w:hAnsi="Arial" w:cs="Arial"/>
          <w:i/>
          <w:sz w:val="20"/>
          <w:szCs w:val="20"/>
          <w:lang w:val="pt-BR"/>
        </w:rPr>
        <w:t>”.</w:t>
      </w:r>
    </w:p>
    <w:p w:rsidR="00FE49EE" w:rsidRPr="00FE49EE" w:rsidRDefault="00FE49EE" w:rsidP="000D33AC">
      <w:pPr>
        <w:suppressAutoHyphens w:val="0"/>
        <w:autoSpaceDE w:val="0"/>
        <w:autoSpaceDN w:val="0"/>
        <w:adjustRightInd w:val="0"/>
        <w:spacing w:line="360" w:lineRule="auto"/>
        <w:ind w:firstLine="708"/>
        <w:jc w:val="both"/>
        <w:rPr>
          <w:rFonts w:ascii="Arial" w:hAnsi="Arial" w:cs="Arial"/>
          <w:i/>
          <w:sz w:val="20"/>
          <w:szCs w:val="20"/>
          <w:lang w:val="pt-BR"/>
        </w:rPr>
      </w:pPr>
    </w:p>
    <w:p w:rsidR="00990FEE" w:rsidRPr="0023756C" w:rsidRDefault="00F22B9D" w:rsidP="00990FEE">
      <w:pPr>
        <w:suppressAutoHyphens w:val="0"/>
        <w:autoSpaceDE w:val="0"/>
        <w:autoSpaceDN w:val="0"/>
        <w:adjustRightInd w:val="0"/>
        <w:spacing w:line="360" w:lineRule="auto"/>
        <w:ind w:firstLine="708"/>
        <w:jc w:val="both"/>
        <w:rPr>
          <w:rFonts w:ascii="Arial" w:hAnsi="Arial" w:cs="Arial"/>
          <w:lang w:val="pt-BR"/>
        </w:rPr>
      </w:pPr>
      <w:r>
        <w:rPr>
          <w:rFonts w:ascii="Arial" w:hAnsi="Arial" w:cs="Arial"/>
          <w:color w:val="000000"/>
          <w:lang w:val="pt-BR"/>
        </w:rPr>
        <w:t>Assim</w:t>
      </w:r>
      <w:r w:rsidR="008B6762">
        <w:rPr>
          <w:rFonts w:ascii="Arial" w:hAnsi="Arial" w:cs="Arial"/>
          <w:color w:val="000000"/>
          <w:lang w:val="pt-BR"/>
        </w:rPr>
        <w:t xml:space="preserve">, </w:t>
      </w:r>
      <w:r w:rsidR="008B6762" w:rsidRPr="006D1454">
        <w:rPr>
          <w:rFonts w:ascii="Arial" w:hAnsi="Arial" w:cs="Arial"/>
          <w:color w:val="000000"/>
          <w:lang w:val="pt-BR"/>
        </w:rPr>
        <w:t xml:space="preserve">esta Superintendência de Correição e Ouvidoria – SUCOR sugere o envio de cópia do recurso e do presente despacho à </w:t>
      </w:r>
      <w:r w:rsidR="008B6762" w:rsidRPr="006D1454">
        <w:rPr>
          <w:rFonts w:ascii="Arial" w:hAnsi="Arial" w:cs="Arial"/>
          <w:lang w:val="pt-BR"/>
        </w:rPr>
        <w:t>Secretaria de Estado da Fazenda</w:t>
      </w:r>
      <w:r w:rsidR="004169A2">
        <w:rPr>
          <w:rFonts w:ascii="Arial" w:hAnsi="Arial" w:cs="Arial"/>
          <w:lang w:val="pt-BR"/>
        </w:rPr>
        <w:t xml:space="preserve"> - SEFAZ</w:t>
      </w:r>
      <w:r w:rsidR="008B6762">
        <w:rPr>
          <w:rFonts w:ascii="Arial" w:hAnsi="Arial" w:cs="Arial"/>
          <w:lang w:val="pt-BR"/>
        </w:rPr>
        <w:t>,</w:t>
      </w:r>
      <w:r w:rsidR="00051882">
        <w:rPr>
          <w:rFonts w:ascii="Arial" w:hAnsi="Arial" w:cs="Arial"/>
          <w:lang w:val="pt-BR"/>
        </w:rPr>
        <w:t xml:space="preserve"> </w:t>
      </w:r>
      <w:r w:rsidR="00051882" w:rsidRPr="00051882">
        <w:rPr>
          <w:rFonts w:ascii="Arial" w:hAnsi="Arial" w:cs="Arial"/>
          <w:lang w:val="pt-BR"/>
        </w:rPr>
        <w:t>com o intuito de oportunizar</w:t>
      </w:r>
      <w:r w:rsidR="00990FEE">
        <w:rPr>
          <w:rFonts w:ascii="Arial" w:hAnsi="Arial" w:cs="Arial"/>
          <w:lang w:val="pt-BR"/>
        </w:rPr>
        <w:t xml:space="preserve"> a recorrida ao conhecimento dos motivos apresentados quando da</w:t>
      </w:r>
      <w:proofErr w:type="gramStart"/>
      <w:r w:rsidR="00990FEE">
        <w:rPr>
          <w:rFonts w:ascii="Arial" w:hAnsi="Arial" w:cs="Arial"/>
          <w:lang w:val="pt-BR"/>
        </w:rPr>
        <w:t xml:space="preserve"> </w:t>
      </w:r>
      <w:r w:rsidR="00051882" w:rsidRPr="00051882">
        <w:rPr>
          <w:rFonts w:ascii="Arial" w:hAnsi="Arial" w:cs="Arial"/>
          <w:lang w:val="pt-BR"/>
        </w:rPr>
        <w:t xml:space="preserve"> </w:t>
      </w:r>
      <w:proofErr w:type="gramEnd"/>
      <w:r w:rsidR="00051882" w:rsidRPr="00051882">
        <w:rPr>
          <w:rFonts w:ascii="Arial" w:hAnsi="Arial" w:cs="Arial"/>
          <w:lang w:val="pt-BR"/>
        </w:rPr>
        <w:t xml:space="preserve">interposição do recurso e </w:t>
      </w:r>
      <w:r w:rsidR="00990FEE">
        <w:rPr>
          <w:rFonts w:ascii="Arial" w:hAnsi="Arial" w:cs="Arial"/>
          <w:lang w:val="pt-BR"/>
        </w:rPr>
        <w:t>possibilitá-la ao contraditório, reinterando ou reconsiderando a decisão denegatória.</w:t>
      </w:r>
    </w:p>
    <w:p w:rsidR="006D1454" w:rsidRDefault="006D1454" w:rsidP="00990FEE">
      <w:pPr>
        <w:spacing w:line="360" w:lineRule="auto"/>
        <w:ind w:firstLine="708"/>
        <w:jc w:val="both"/>
        <w:rPr>
          <w:rFonts w:ascii="Arial" w:hAnsi="Arial" w:cs="Arial"/>
          <w:lang w:val="pt-BR"/>
        </w:rPr>
      </w:pPr>
    </w:p>
    <w:p w:rsidR="006447EB" w:rsidRPr="006D1454" w:rsidRDefault="00207D96" w:rsidP="006D1454">
      <w:pPr>
        <w:suppressAutoHyphens w:val="0"/>
        <w:autoSpaceDE w:val="0"/>
        <w:autoSpaceDN w:val="0"/>
        <w:adjustRightInd w:val="0"/>
        <w:spacing w:line="360" w:lineRule="auto"/>
        <w:ind w:firstLine="708"/>
        <w:jc w:val="center"/>
        <w:rPr>
          <w:rFonts w:ascii="Arial" w:hAnsi="Arial" w:cs="Arial"/>
          <w:lang w:val="pt-BR"/>
        </w:rPr>
      </w:pPr>
      <w:r w:rsidRPr="006D1454">
        <w:rPr>
          <w:rFonts w:ascii="Arial" w:hAnsi="Arial" w:cs="Arial"/>
          <w:lang w:val="pt-BR"/>
        </w:rPr>
        <w:t xml:space="preserve">Maceió – AL, </w:t>
      </w:r>
      <w:r w:rsidR="004169A2">
        <w:rPr>
          <w:rFonts w:ascii="Arial" w:hAnsi="Arial" w:cs="Arial"/>
          <w:lang w:val="pt-BR"/>
        </w:rPr>
        <w:t>19</w:t>
      </w:r>
      <w:r w:rsidRPr="006D1454">
        <w:rPr>
          <w:rFonts w:ascii="Arial" w:hAnsi="Arial" w:cs="Arial"/>
          <w:lang w:val="pt-BR"/>
        </w:rPr>
        <w:t xml:space="preserve"> de </w:t>
      </w:r>
      <w:r w:rsidR="004169A2">
        <w:rPr>
          <w:rFonts w:ascii="Arial" w:hAnsi="Arial" w:cs="Arial"/>
          <w:lang w:val="pt-BR"/>
        </w:rPr>
        <w:t>setembro</w:t>
      </w:r>
      <w:r w:rsidRPr="006D1454">
        <w:rPr>
          <w:rFonts w:ascii="Arial" w:hAnsi="Arial" w:cs="Arial"/>
          <w:lang w:val="pt-BR"/>
        </w:rPr>
        <w:t xml:space="preserve"> de 201</w:t>
      </w:r>
      <w:r w:rsidR="00357574" w:rsidRPr="006D1454">
        <w:rPr>
          <w:rFonts w:ascii="Arial" w:hAnsi="Arial" w:cs="Arial"/>
          <w:lang w:val="pt-BR"/>
        </w:rPr>
        <w:t>6</w:t>
      </w:r>
      <w:r w:rsidRPr="006D1454">
        <w:rPr>
          <w:rFonts w:ascii="Arial" w:hAnsi="Arial" w:cs="Arial"/>
          <w:lang w:val="pt-BR"/>
        </w:rPr>
        <w:t>.</w:t>
      </w:r>
    </w:p>
    <w:p w:rsidR="0023756C" w:rsidRDefault="0023756C" w:rsidP="00191754">
      <w:pPr>
        <w:tabs>
          <w:tab w:val="left" w:pos="6810"/>
          <w:tab w:val="left" w:pos="6840"/>
        </w:tabs>
        <w:suppressAutoHyphens w:val="0"/>
        <w:autoSpaceDE w:val="0"/>
        <w:autoSpaceDN w:val="0"/>
        <w:adjustRightInd w:val="0"/>
        <w:spacing w:line="360" w:lineRule="auto"/>
        <w:rPr>
          <w:rFonts w:ascii="Arial" w:hAnsi="Arial" w:cs="Arial"/>
          <w:i/>
          <w:color w:val="000000"/>
          <w:lang w:val="pt-BR"/>
        </w:rPr>
      </w:pPr>
    </w:p>
    <w:p w:rsidR="0023756C" w:rsidRDefault="0023756C" w:rsidP="00191754">
      <w:pPr>
        <w:tabs>
          <w:tab w:val="left" w:pos="6810"/>
          <w:tab w:val="left" w:pos="6840"/>
        </w:tabs>
        <w:suppressAutoHyphens w:val="0"/>
        <w:autoSpaceDE w:val="0"/>
        <w:autoSpaceDN w:val="0"/>
        <w:adjustRightInd w:val="0"/>
        <w:spacing w:line="360" w:lineRule="auto"/>
        <w:rPr>
          <w:rFonts w:ascii="Arial" w:hAnsi="Arial" w:cs="Arial"/>
          <w:i/>
          <w:color w:val="000000"/>
          <w:lang w:val="pt-BR"/>
        </w:rPr>
      </w:pPr>
    </w:p>
    <w:p w:rsidR="00B55C44" w:rsidRDefault="0023756C" w:rsidP="0023756C">
      <w:pPr>
        <w:tabs>
          <w:tab w:val="left" w:pos="6810"/>
          <w:tab w:val="left" w:pos="6840"/>
        </w:tabs>
        <w:suppressAutoHyphens w:val="0"/>
        <w:autoSpaceDE w:val="0"/>
        <w:autoSpaceDN w:val="0"/>
        <w:adjustRightInd w:val="0"/>
        <w:spacing w:line="360" w:lineRule="auto"/>
        <w:jc w:val="center"/>
        <w:rPr>
          <w:rFonts w:ascii="Arial" w:hAnsi="Arial" w:cs="Arial"/>
          <w:b/>
          <w:color w:val="000000"/>
          <w:lang w:val="pt-BR"/>
        </w:rPr>
      </w:pPr>
      <w:r w:rsidRPr="0023756C">
        <w:rPr>
          <w:rFonts w:ascii="Arial" w:hAnsi="Arial" w:cs="Arial"/>
          <w:b/>
          <w:color w:val="000000"/>
          <w:lang w:val="pt-BR"/>
        </w:rPr>
        <w:t>Bruna Cansanção de Albuquerque Barbosa</w:t>
      </w:r>
    </w:p>
    <w:p w:rsidR="0023756C" w:rsidRPr="0023756C" w:rsidRDefault="0023756C" w:rsidP="0023756C">
      <w:pPr>
        <w:tabs>
          <w:tab w:val="left" w:pos="6810"/>
          <w:tab w:val="left" w:pos="6840"/>
        </w:tabs>
        <w:suppressAutoHyphens w:val="0"/>
        <w:autoSpaceDE w:val="0"/>
        <w:autoSpaceDN w:val="0"/>
        <w:adjustRightInd w:val="0"/>
        <w:spacing w:line="360" w:lineRule="auto"/>
        <w:jc w:val="center"/>
        <w:rPr>
          <w:rFonts w:ascii="Arial" w:hAnsi="Arial" w:cs="Arial"/>
          <w:lang w:val="pt-BR"/>
        </w:rPr>
      </w:pPr>
      <w:r>
        <w:rPr>
          <w:rFonts w:ascii="Arial" w:hAnsi="Arial" w:cs="Arial"/>
          <w:color w:val="000000"/>
          <w:lang w:val="pt-BR"/>
        </w:rPr>
        <w:t>Superintendente de Correição e Ouvidoria</w:t>
      </w:r>
    </w:p>
    <w:sectPr w:rsidR="0023756C" w:rsidRPr="0023756C" w:rsidSect="006D1454">
      <w:headerReference w:type="default" r:id="rId7"/>
      <w:footerReference w:type="default" r:id="rId8"/>
      <w:pgSz w:w="11906" w:h="16838"/>
      <w:pgMar w:top="851" w:right="851" w:bottom="1276"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38C" w:rsidRDefault="00AE738C" w:rsidP="0016418A">
      <w:r>
        <w:separator/>
      </w:r>
    </w:p>
  </w:endnote>
  <w:endnote w:type="continuationSeparator" w:id="0">
    <w:p w:rsidR="00AE738C" w:rsidRDefault="00AE738C" w:rsidP="001641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imbus Roman No9 L">
    <w:altName w:val="Times New Roman"/>
    <w:charset w:val="00"/>
    <w:family w:val="roman"/>
    <w:pitch w:val="variable"/>
    <w:sig w:usb0="00000000" w:usb1="00000000" w:usb2="00000000" w:usb3="00000000" w:csb0="00000000" w:csb1="00000000"/>
  </w:font>
  <w:font w:name="Bitstream Vera Sans">
    <w:altName w:val="Trebuchet MS"/>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18A" w:rsidRPr="0016418A" w:rsidRDefault="00191754" w:rsidP="0016418A">
    <w:pPr>
      <w:pStyle w:val="Rodap"/>
    </w:pPr>
    <w:r>
      <w:rPr>
        <w:noProof/>
        <w:lang w:eastAsia="pt-BR"/>
      </w:rPr>
      <w:drawing>
        <wp:anchor distT="0" distB="0" distL="114300" distR="114300" simplePos="0" relativeHeight="251659264" behindDoc="1" locked="0" layoutInCell="1" allowOverlap="1">
          <wp:simplePos x="0" y="0"/>
          <wp:positionH relativeFrom="column">
            <wp:posOffset>-709930</wp:posOffset>
          </wp:positionH>
          <wp:positionV relativeFrom="paragraph">
            <wp:posOffset>-79375</wp:posOffset>
          </wp:positionV>
          <wp:extent cx="1371600" cy="552450"/>
          <wp:effectExtent l="19050" t="0" r="0" b="0"/>
          <wp:wrapNone/>
          <wp:docPr id="3" name="Imagem 2" descr="Marca Gove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 Governo.png"/>
                  <pic:cNvPicPr/>
                </pic:nvPicPr>
                <pic:blipFill>
                  <a:blip r:embed="rId1"/>
                  <a:stretch>
                    <a:fillRect/>
                  </a:stretch>
                </pic:blipFill>
                <pic:spPr>
                  <a:xfrm>
                    <a:off x="0" y="0"/>
                    <a:ext cx="1371600" cy="552450"/>
                  </a:xfrm>
                  <a:prstGeom prst="rect">
                    <a:avLst/>
                  </a:prstGeom>
                </pic:spPr>
              </pic:pic>
            </a:graphicData>
          </a:graphic>
        </wp:anchor>
      </w:drawing>
    </w:r>
    <w:r w:rsidR="003B434E">
      <w:rPr>
        <w:noProof/>
        <w:lang w:eastAsia="pt-BR"/>
      </w:rPr>
      <w:drawing>
        <wp:anchor distT="0" distB="0" distL="114300" distR="114300" simplePos="0" relativeHeight="251660288" behindDoc="1" locked="0" layoutInCell="1" allowOverlap="1">
          <wp:simplePos x="0" y="0"/>
          <wp:positionH relativeFrom="column">
            <wp:posOffset>5586095</wp:posOffset>
          </wp:positionH>
          <wp:positionV relativeFrom="paragraph">
            <wp:posOffset>-174625</wp:posOffset>
          </wp:positionV>
          <wp:extent cx="704850" cy="695325"/>
          <wp:effectExtent l="19050" t="0" r="0" b="0"/>
          <wp:wrapNone/>
          <wp:docPr id="4" name="Imagem 3" descr="Se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as.png"/>
                  <pic:cNvPicPr/>
                </pic:nvPicPr>
                <pic:blipFill>
                  <a:blip r:embed="rId2"/>
                  <a:stretch>
                    <a:fillRect/>
                  </a:stretch>
                </pic:blipFill>
                <pic:spPr>
                  <a:xfrm>
                    <a:off x="0" y="0"/>
                    <a:ext cx="704850" cy="6953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38C" w:rsidRDefault="00AE738C" w:rsidP="0016418A">
      <w:r>
        <w:separator/>
      </w:r>
    </w:p>
  </w:footnote>
  <w:footnote w:type="continuationSeparator" w:id="0">
    <w:p w:rsidR="00AE738C" w:rsidRDefault="00AE738C" w:rsidP="001641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18A" w:rsidRDefault="0016418A">
    <w:pPr>
      <w:pStyle w:val="Cabealho"/>
    </w:pPr>
    <w:r>
      <w:rPr>
        <w:noProof/>
        <w:lang w:eastAsia="pt-BR"/>
      </w:rPr>
      <w:drawing>
        <wp:anchor distT="0" distB="0" distL="114300" distR="114300" simplePos="0" relativeHeight="251658240" behindDoc="1" locked="0" layoutInCell="1" allowOverlap="1">
          <wp:simplePos x="0" y="0"/>
          <wp:positionH relativeFrom="column">
            <wp:posOffset>2747645</wp:posOffset>
          </wp:positionH>
          <wp:positionV relativeFrom="paragraph">
            <wp:posOffset>-231140</wp:posOffset>
          </wp:positionV>
          <wp:extent cx="509270" cy="638175"/>
          <wp:effectExtent l="19050" t="0" r="5080" b="0"/>
          <wp:wrapNone/>
          <wp:docPr id="1"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ng"/>
                  <pic:cNvPicPr/>
                </pic:nvPicPr>
                <pic:blipFill>
                  <a:blip r:embed="rId1"/>
                  <a:stretch>
                    <a:fillRect/>
                  </a:stretch>
                </pic:blipFill>
                <pic:spPr>
                  <a:xfrm>
                    <a:off x="0" y="0"/>
                    <a:ext cx="509270" cy="638175"/>
                  </a:xfrm>
                  <a:prstGeom prst="rect">
                    <a:avLst/>
                  </a:prstGeom>
                </pic:spPr>
              </pic:pic>
            </a:graphicData>
          </a:graphic>
        </wp:anchor>
      </w:drawing>
    </w:r>
    <w:r>
      <w:t xml:space="preserve">    </w:t>
    </w:r>
  </w:p>
  <w:p w:rsidR="0016418A" w:rsidRDefault="0016418A">
    <w:pPr>
      <w:pStyle w:val="Cabealho"/>
    </w:pPr>
  </w:p>
  <w:p w:rsidR="0016418A" w:rsidRDefault="0016418A">
    <w:pPr>
      <w:pStyle w:val="Cabealho"/>
    </w:pPr>
  </w:p>
  <w:p w:rsidR="0016418A" w:rsidRPr="0016418A" w:rsidRDefault="0016418A" w:rsidP="0016418A">
    <w:pPr>
      <w:pStyle w:val="Cabealho"/>
      <w:spacing w:after="100" w:afterAutospacing="1"/>
      <w:contextualSpacing/>
      <w:jc w:val="center"/>
      <w:rPr>
        <w:b/>
        <w:sz w:val="20"/>
        <w:szCs w:val="20"/>
      </w:rPr>
    </w:pPr>
    <w:r w:rsidRPr="0016418A">
      <w:rPr>
        <w:b/>
        <w:sz w:val="20"/>
        <w:szCs w:val="20"/>
      </w:rPr>
      <w:t>ESTADO DE ALAGOAS</w:t>
    </w:r>
  </w:p>
  <w:p w:rsidR="002B40F6" w:rsidRDefault="005F0B29" w:rsidP="0016418A">
    <w:pPr>
      <w:pStyle w:val="Cabealho"/>
      <w:spacing w:after="100" w:afterAutospacing="1"/>
      <w:contextualSpacing/>
      <w:jc w:val="center"/>
      <w:rPr>
        <w:b/>
        <w:sz w:val="18"/>
        <w:szCs w:val="18"/>
      </w:rPr>
    </w:pPr>
    <w:r>
      <w:rPr>
        <w:b/>
        <w:sz w:val="18"/>
        <w:szCs w:val="18"/>
      </w:rPr>
      <w:t>CONTROLADORIA GERAL DO ESTADO</w:t>
    </w:r>
  </w:p>
  <w:p w:rsidR="003B434E" w:rsidRPr="0016418A" w:rsidRDefault="003B434E" w:rsidP="003B434E">
    <w:pPr>
      <w:pStyle w:val="Cabealho"/>
      <w:spacing w:after="100" w:afterAutospacing="1"/>
      <w:contextualSpacing/>
      <w:jc w:val="center"/>
      <w:rPr>
        <w:sz w:val="17"/>
        <w:szCs w:val="17"/>
      </w:rPr>
    </w:pPr>
    <w:r>
      <w:rPr>
        <w:sz w:val="17"/>
        <w:szCs w:val="17"/>
      </w:rPr>
      <w:t xml:space="preserve">Edifício Centro Empresarial Barão de Penedo, 14º Andar – Rua Barão de Penedo - Centro </w:t>
    </w:r>
    <w:r w:rsidRPr="0016418A">
      <w:rPr>
        <w:sz w:val="17"/>
        <w:szCs w:val="17"/>
      </w:rPr>
      <w:t>- Maceió - AL - CEP 57020-</w:t>
    </w:r>
    <w:proofErr w:type="gramStart"/>
    <w:r>
      <w:rPr>
        <w:sz w:val="17"/>
        <w:szCs w:val="17"/>
      </w:rPr>
      <w:t>340</w:t>
    </w:r>
    <w:proofErr w:type="gramEnd"/>
    <w:r w:rsidRPr="0016418A">
      <w:rPr>
        <w:sz w:val="17"/>
        <w:szCs w:val="17"/>
      </w:rPr>
      <w:t xml:space="preserve"> </w:t>
    </w:r>
  </w:p>
  <w:p w:rsidR="0016418A" w:rsidRPr="0016418A" w:rsidRDefault="005F0B29" w:rsidP="0016418A">
    <w:pPr>
      <w:pStyle w:val="Cabealho"/>
      <w:spacing w:after="100" w:afterAutospacing="1"/>
      <w:contextualSpacing/>
      <w:jc w:val="center"/>
      <w:rPr>
        <w:sz w:val="17"/>
        <w:szCs w:val="17"/>
      </w:rPr>
    </w:pPr>
    <w:r>
      <w:rPr>
        <w:sz w:val="17"/>
        <w:szCs w:val="17"/>
      </w:rPr>
      <w:t>Fone: (82) 3315-3630</w:t>
    </w:r>
    <w:r w:rsidR="00F33E11">
      <w:rPr>
        <w:sz w:val="17"/>
        <w:szCs w:val="17"/>
      </w:rPr>
      <w:t xml:space="preserve"> - CNPJ</w:t>
    </w:r>
    <w:r>
      <w:rPr>
        <w:sz w:val="17"/>
        <w:szCs w:val="17"/>
      </w:rPr>
      <w:t>: 12.415.907/0001-09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C3731"/>
    <w:multiLevelType w:val="hybridMultilevel"/>
    <w:tmpl w:val="6D54C286"/>
    <w:lvl w:ilvl="0" w:tplc="3A6A4A8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49506"/>
  </w:hdrShapeDefaults>
  <w:footnotePr>
    <w:footnote w:id="-1"/>
    <w:footnote w:id="0"/>
  </w:footnotePr>
  <w:endnotePr>
    <w:endnote w:id="-1"/>
    <w:endnote w:id="0"/>
  </w:endnotePr>
  <w:compat/>
  <w:rsids>
    <w:rsidRoot w:val="0016418A"/>
    <w:rsid w:val="00011705"/>
    <w:rsid w:val="00013CC8"/>
    <w:rsid w:val="00014C63"/>
    <w:rsid w:val="00045352"/>
    <w:rsid w:val="00051882"/>
    <w:rsid w:val="00066F0B"/>
    <w:rsid w:val="000673F0"/>
    <w:rsid w:val="00071C57"/>
    <w:rsid w:val="000724E0"/>
    <w:rsid w:val="00091024"/>
    <w:rsid w:val="00095372"/>
    <w:rsid w:val="00097452"/>
    <w:rsid w:val="000A1FD1"/>
    <w:rsid w:val="000A4E80"/>
    <w:rsid w:val="000A6426"/>
    <w:rsid w:val="000B267B"/>
    <w:rsid w:val="000B74EA"/>
    <w:rsid w:val="000C0B50"/>
    <w:rsid w:val="000C666D"/>
    <w:rsid w:val="000D0686"/>
    <w:rsid w:val="000D33AC"/>
    <w:rsid w:val="000D5DD3"/>
    <w:rsid w:val="000F6EE3"/>
    <w:rsid w:val="00100A7C"/>
    <w:rsid w:val="00106821"/>
    <w:rsid w:val="001162F6"/>
    <w:rsid w:val="00152689"/>
    <w:rsid w:val="0016418A"/>
    <w:rsid w:val="001768E6"/>
    <w:rsid w:val="00186AA0"/>
    <w:rsid w:val="00191754"/>
    <w:rsid w:val="00192077"/>
    <w:rsid w:val="0019398A"/>
    <w:rsid w:val="001A0319"/>
    <w:rsid w:val="001A58CB"/>
    <w:rsid w:val="001B4B5C"/>
    <w:rsid w:val="001C328B"/>
    <w:rsid w:val="001D02A9"/>
    <w:rsid w:val="00207D96"/>
    <w:rsid w:val="00221471"/>
    <w:rsid w:val="00227503"/>
    <w:rsid w:val="00231FA1"/>
    <w:rsid w:val="0023756C"/>
    <w:rsid w:val="00241198"/>
    <w:rsid w:val="002533BF"/>
    <w:rsid w:val="00261E3F"/>
    <w:rsid w:val="00292E3E"/>
    <w:rsid w:val="002B40F6"/>
    <w:rsid w:val="002C7454"/>
    <w:rsid w:val="002D1630"/>
    <w:rsid w:val="002E04A7"/>
    <w:rsid w:val="002F4503"/>
    <w:rsid w:val="003024AE"/>
    <w:rsid w:val="00305737"/>
    <w:rsid w:val="00310935"/>
    <w:rsid w:val="003116E0"/>
    <w:rsid w:val="00313C6C"/>
    <w:rsid w:val="00314DEC"/>
    <w:rsid w:val="00321153"/>
    <w:rsid w:val="00331524"/>
    <w:rsid w:val="00334E73"/>
    <w:rsid w:val="00343631"/>
    <w:rsid w:val="00350962"/>
    <w:rsid w:val="00350FBC"/>
    <w:rsid w:val="003514B0"/>
    <w:rsid w:val="00357574"/>
    <w:rsid w:val="00377ECF"/>
    <w:rsid w:val="00397A69"/>
    <w:rsid w:val="003A2079"/>
    <w:rsid w:val="003B2ACB"/>
    <w:rsid w:val="003B434E"/>
    <w:rsid w:val="003D7E24"/>
    <w:rsid w:val="003E6E82"/>
    <w:rsid w:val="003E6E91"/>
    <w:rsid w:val="003F2EE8"/>
    <w:rsid w:val="003F7DDA"/>
    <w:rsid w:val="00401BFF"/>
    <w:rsid w:val="00410D5C"/>
    <w:rsid w:val="004169A2"/>
    <w:rsid w:val="00427F09"/>
    <w:rsid w:val="0044490E"/>
    <w:rsid w:val="004461C2"/>
    <w:rsid w:val="00450C16"/>
    <w:rsid w:val="004557A7"/>
    <w:rsid w:val="00465117"/>
    <w:rsid w:val="004910D4"/>
    <w:rsid w:val="004A057C"/>
    <w:rsid w:val="004B0D07"/>
    <w:rsid w:val="004B742A"/>
    <w:rsid w:val="004E042C"/>
    <w:rsid w:val="004E342B"/>
    <w:rsid w:val="004E3C64"/>
    <w:rsid w:val="004E5B65"/>
    <w:rsid w:val="004E781B"/>
    <w:rsid w:val="005005F7"/>
    <w:rsid w:val="005029D8"/>
    <w:rsid w:val="00510FE9"/>
    <w:rsid w:val="0051187B"/>
    <w:rsid w:val="00521106"/>
    <w:rsid w:val="005211D4"/>
    <w:rsid w:val="00535EC5"/>
    <w:rsid w:val="00536CEE"/>
    <w:rsid w:val="00564770"/>
    <w:rsid w:val="0056783B"/>
    <w:rsid w:val="00571523"/>
    <w:rsid w:val="005755A3"/>
    <w:rsid w:val="0058687D"/>
    <w:rsid w:val="00586912"/>
    <w:rsid w:val="00590DD7"/>
    <w:rsid w:val="0059610C"/>
    <w:rsid w:val="005D3D5D"/>
    <w:rsid w:val="005E3BB9"/>
    <w:rsid w:val="005F0B29"/>
    <w:rsid w:val="00602CFE"/>
    <w:rsid w:val="00607759"/>
    <w:rsid w:val="006131C1"/>
    <w:rsid w:val="006202D3"/>
    <w:rsid w:val="006319B0"/>
    <w:rsid w:val="00632F32"/>
    <w:rsid w:val="006419EA"/>
    <w:rsid w:val="00643CA2"/>
    <w:rsid w:val="006447EB"/>
    <w:rsid w:val="006604CD"/>
    <w:rsid w:val="006619CF"/>
    <w:rsid w:val="00680E9B"/>
    <w:rsid w:val="00682257"/>
    <w:rsid w:val="00687636"/>
    <w:rsid w:val="00690B8E"/>
    <w:rsid w:val="006C624B"/>
    <w:rsid w:val="006C6494"/>
    <w:rsid w:val="006D1454"/>
    <w:rsid w:val="006D153B"/>
    <w:rsid w:val="006D6888"/>
    <w:rsid w:val="006E312C"/>
    <w:rsid w:val="006E45D9"/>
    <w:rsid w:val="006F031F"/>
    <w:rsid w:val="006F2404"/>
    <w:rsid w:val="007042CD"/>
    <w:rsid w:val="00710910"/>
    <w:rsid w:val="00714C7A"/>
    <w:rsid w:val="0071778A"/>
    <w:rsid w:val="00731D83"/>
    <w:rsid w:val="0073217A"/>
    <w:rsid w:val="00740B87"/>
    <w:rsid w:val="00741079"/>
    <w:rsid w:val="00766EFA"/>
    <w:rsid w:val="00774525"/>
    <w:rsid w:val="0078512E"/>
    <w:rsid w:val="00785B89"/>
    <w:rsid w:val="00787BE0"/>
    <w:rsid w:val="00790ED2"/>
    <w:rsid w:val="007A5B9C"/>
    <w:rsid w:val="007F5462"/>
    <w:rsid w:val="007F7D30"/>
    <w:rsid w:val="008038B3"/>
    <w:rsid w:val="0080475B"/>
    <w:rsid w:val="00815CF1"/>
    <w:rsid w:val="0081606B"/>
    <w:rsid w:val="00816144"/>
    <w:rsid w:val="00825AC5"/>
    <w:rsid w:val="0083570E"/>
    <w:rsid w:val="00836BEA"/>
    <w:rsid w:val="00855AAD"/>
    <w:rsid w:val="008644E9"/>
    <w:rsid w:val="008737DD"/>
    <w:rsid w:val="00886A33"/>
    <w:rsid w:val="00887D5E"/>
    <w:rsid w:val="008B35D9"/>
    <w:rsid w:val="008B6762"/>
    <w:rsid w:val="008C25CB"/>
    <w:rsid w:val="008C6B85"/>
    <w:rsid w:val="008D3655"/>
    <w:rsid w:val="008E25A6"/>
    <w:rsid w:val="008F39CB"/>
    <w:rsid w:val="008F5081"/>
    <w:rsid w:val="008F6B44"/>
    <w:rsid w:val="00923514"/>
    <w:rsid w:val="00941110"/>
    <w:rsid w:val="00956979"/>
    <w:rsid w:val="00963C24"/>
    <w:rsid w:val="00990FEE"/>
    <w:rsid w:val="00994556"/>
    <w:rsid w:val="00994B59"/>
    <w:rsid w:val="009A138A"/>
    <w:rsid w:val="009A2FA3"/>
    <w:rsid w:val="009A485D"/>
    <w:rsid w:val="009B6767"/>
    <w:rsid w:val="009D01C0"/>
    <w:rsid w:val="009E3E09"/>
    <w:rsid w:val="00A04808"/>
    <w:rsid w:val="00A15C28"/>
    <w:rsid w:val="00A26814"/>
    <w:rsid w:val="00A31EB2"/>
    <w:rsid w:val="00A31EBD"/>
    <w:rsid w:val="00A41036"/>
    <w:rsid w:val="00A54D53"/>
    <w:rsid w:val="00A65C51"/>
    <w:rsid w:val="00A87469"/>
    <w:rsid w:val="00A87A39"/>
    <w:rsid w:val="00A915DA"/>
    <w:rsid w:val="00A93960"/>
    <w:rsid w:val="00AC415C"/>
    <w:rsid w:val="00AD62F7"/>
    <w:rsid w:val="00AE738C"/>
    <w:rsid w:val="00AF3E2B"/>
    <w:rsid w:val="00B063B5"/>
    <w:rsid w:val="00B11F4F"/>
    <w:rsid w:val="00B21678"/>
    <w:rsid w:val="00B23735"/>
    <w:rsid w:val="00B43359"/>
    <w:rsid w:val="00B52C32"/>
    <w:rsid w:val="00B55C44"/>
    <w:rsid w:val="00B65422"/>
    <w:rsid w:val="00B670A6"/>
    <w:rsid w:val="00B763F2"/>
    <w:rsid w:val="00BA556A"/>
    <w:rsid w:val="00BA6D59"/>
    <w:rsid w:val="00BD7C72"/>
    <w:rsid w:val="00C16089"/>
    <w:rsid w:val="00C17EAB"/>
    <w:rsid w:val="00C223CC"/>
    <w:rsid w:val="00C43853"/>
    <w:rsid w:val="00C61910"/>
    <w:rsid w:val="00C655B0"/>
    <w:rsid w:val="00C67F92"/>
    <w:rsid w:val="00C701C1"/>
    <w:rsid w:val="00C71BF7"/>
    <w:rsid w:val="00C77EFC"/>
    <w:rsid w:val="00C85BE5"/>
    <w:rsid w:val="00CB05EE"/>
    <w:rsid w:val="00CC2FE0"/>
    <w:rsid w:val="00CC5DD5"/>
    <w:rsid w:val="00D11056"/>
    <w:rsid w:val="00D1506B"/>
    <w:rsid w:val="00D17C9A"/>
    <w:rsid w:val="00D25411"/>
    <w:rsid w:val="00D477C2"/>
    <w:rsid w:val="00D53B14"/>
    <w:rsid w:val="00D8730E"/>
    <w:rsid w:val="00D92D79"/>
    <w:rsid w:val="00DB26E6"/>
    <w:rsid w:val="00DB5E70"/>
    <w:rsid w:val="00DC55F8"/>
    <w:rsid w:val="00DD527D"/>
    <w:rsid w:val="00DD71CB"/>
    <w:rsid w:val="00DE2973"/>
    <w:rsid w:val="00DE4F7C"/>
    <w:rsid w:val="00DE7A4E"/>
    <w:rsid w:val="00DF50C9"/>
    <w:rsid w:val="00E00958"/>
    <w:rsid w:val="00E05118"/>
    <w:rsid w:val="00E16CEE"/>
    <w:rsid w:val="00E16E33"/>
    <w:rsid w:val="00E2302D"/>
    <w:rsid w:val="00E36633"/>
    <w:rsid w:val="00E44672"/>
    <w:rsid w:val="00E453FA"/>
    <w:rsid w:val="00E5253A"/>
    <w:rsid w:val="00E54DEE"/>
    <w:rsid w:val="00E61F8A"/>
    <w:rsid w:val="00E651CB"/>
    <w:rsid w:val="00E76819"/>
    <w:rsid w:val="00E7746E"/>
    <w:rsid w:val="00E82269"/>
    <w:rsid w:val="00E86FA5"/>
    <w:rsid w:val="00E9287B"/>
    <w:rsid w:val="00EB4C70"/>
    <w:rsid w:val="00EB4DDE"/>
    <w:rsid w:val="00EB6875"/>
    <w:rsid w:val="00EC2BF2"/>
    <w:rsid w:val="00EF2D4D"/>
    <w:rsid w:val="00F03537"/>
    <w:rsid w:val="00F04078"/>
    <w:rsid w:val="00F07BE6"/>
    <w:rsid w:val="00F20F0C"/>
    <w:rsid w:val="00F22B9D"/>
    <w:rsid w:val="00F25A96"/>
    <w:rsid w:val="00F30FB8"/>
    <w:rsid w:val="00F33E11"/>
    <w:rsid w:val="00F46399"/>
    <w:rsid w:val="00F4785E"/>
    <w:rsid w:val="00F621CC"/>
    <w:rsid w:val="00F64321"/>
    <w:rsid w:val="00F67743"/>
    <w:rsid w:val="00F67EE2"/>
    <w:rsid w:val="00F83E7B"/>
    <w:rsid w:val="00F85D7A"/>
    <w:rsid w:val="00F85EF7"/>
    <w:rsid w:val="00F87577"/>
    <w:rsid w:val="00F87E2A"/>
    <w:rsid w:val="00F93472"/>
    <w:rsid w:val="00F95CFA"/>
    <w:rsid w:val="00FC71C7"/>
    <w:rsid w:val="00FE2BC8"/>
    <w:rsid w:val="00FE49EE"/>
    <w:rsid w:val="00FE7FA0"/>
    <w:rsid w:val="00FF63C3"/>
    <w:rsid w:val="00FF693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9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D96"/>
    <w:pPr>
      <w:widowControl w:val="0"/>
      <w:suppressAutoHyphens/>
      <w:spacing w:after="0" w:line="240" w:lineRule="auto"/>
    </w:pPr>
    <w:rPr>
      <w:rFonts w:ascii="Nimbus Roman No9 L" w:eastAsia="Bitstream Vera Sans" w:hAnsi="Nimbus Roman No9 L" w:cs="Times New Roman"/>
      <w:sz w:val="24"/>
      <w:szCs w:val="24"/>
      <w:lang w:val="en-US" w:eastAsia="pt-BR"/>
    </w:rPr>
  </w:style>
  <w:style w:type="paragraph" w:styleId="Ttulo3">
    <w:name w:val="heading 3"/>
    <w:basedOn w:val="Normal"/>
    <w:next w:val="Normal"/>
    <w:link w:val="Ttulo3Char"/>
    <w:uiPriority w:val="9"/>
    <w:semiHidden/>
    <w:unhideWhenUsed/>
    <w:qFormat/>
    <w:rsid w:val="008B35D9"/>
    <w:pPr>
      <w:keepNext/>
      <w:spacing w:before="240" w:after="60"/>
      <w:outlineLvl w:val="2"/>
    </w:pPr>
    <w:rPr>
      <w:rFonts w:asciiTheme="majorHAnsi" w:eastAsiaTheme="majorEastAsia" w:hAnsiTheme="majorHAnsi" w:cstheme="majorBidi"/>
      <w:b/>
      <w:bCs/>
      <w:sz w:val="26"/>
      <w:szCs w:val="26"/>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6418A"/>
    <w:pPr>
      <w:widowControl/>
      <w:tabs>
        <w:tab w:val="center" w:pos="4252"/>
        <w:tab w:val="right" w:pos="8504"/>
      </w:tabs>
      <w:suppressAutoHyphens w:val="0"/>
    </w:pPr>
    <w:rPr>
      <w:rFonts w:asciiTheme="minorHAnsi" w:eastAsiaTheme="minorHAnsi" w:hAnsiTheme="minorHAnsi" w:cstheme="minorBidi"/>
      <w:sz w:val="22"/>
      <w:szCs w:val="22"/>
      <w:lang w:val="pt-BR" w:eastAsia="en-US"/>
    </w:rPr>
  </w:style>
  <w:style w:type="character" w:customStyle="1" w:styleId="CabealhoChar">
    <w:name w:val="Cabeçalho Char"/>
    <w:basedOn w:val="Fontepargpadro"/>
    <w:link w:val="Cabealho"/>
    <w:uiPriority w:val="99"/>
    <w:rsid w:val="0016418A"/>
  </w:style>
  <w:style w:type="paragraph" w:styleId="Rodap">
    <w:name w:val="footer"/>
    <w:basedOn w:val="Normal"/>
    <w:link w:val="RodapChar"/>
    <w:uiPriority w:val="99"/>
    <w:semiHidden/>
    <w:unhideWhenUsed/>
    <w:rsid w:val="0016418A"/>
    <w:pPr>
      <w:widowControl/>
      <w:tabs>
        <w:tab w:val="center" w:pos="4252"/>
        <w:tab w:val="right" w:pos="8504"/>
      </w:tabs>
      <w:suppressAutoHyphens w:val="0"/>
    </w:pPr>
    <w:rPr>
      <w:rFonts w:asciiTheme="minorHAnsi" w:eastAsiaTheme="minorHAnsi" w:hAnsiTheme="minorHAnsi" w:cstheme="minorBidi"/>
      <w:sz w:val="22"/>
      <w:szCs w:val="22"/>
      <w:lang w:val="pt-BR" w:eastAsia="en-US"/>
    </w:rPr>
  </w:style>
  <w:style w:type="character" w:customStyle="1" w:styleId="RodapChar">
    <w:name w:val="Rodapé Char"/>
    <w:basedOn w:val="Fontepargpadro"/>
    <w:link w:val="Rodap"/>
    <w:uiPriority w:val="99"/>
    <w:semiHidden/>
    <w:rsid w:val="0016418A"/>
  </w:style>
  <w:style w:type="paragraph" w:styleId="Textodebalo">
    <w:name w:val="Balloon Text"/>
    <w:basedOn w:val="Normal"/>
    <w:link w:val="TextodebaloChar"/>
    <w:uiPriority w:val="99"/>
    <w:semiHidden/>
    <w:unhideWhenUsed/>
    <w:rsid w:val="0016418A"/>
    <w:rPr>
      <w:rFonts w:ascii="Tahoma" w:hAnsi="Tahoma" w:cs="Tahoma"/>
      <w:sz w:val="16"/>
      <w:szCs w:val="16"/>
    </w:rPr>
  </w:style>
  <w:style w:type="character" w:customStyle="1" w:styleId="TextodebaloChar">
    <w:name w:val="Texto de balão Char"/>
    <w:basedOn w:val="Fontepargpadro"/>
    <w:link w:val="Textodebalo"/>
    <w:uiPriority w:val="99"/>
    <w:semiHidden/>
    <w:rsid w:val="0016418A"/>
    <w:rPr>
      <w:rFonts w:ascii="Tahoma" w:hAnsi="Tahoma" w:cs="Tahoma"/>
      <w:sz w:val="16"/>
      <w:szCs w:val="16"/>
    </w:rPr>
  </w:style>
  <w:style w:type="character" w:customStyle="1" w:styleId="Ttulo3Char">
    <w:name w:val="Título 3 Char"/>
    <w:basedOn w:val="Fontepargpadro"/>
    <w:link w:val="Ttulo3"/>
    <w:uiPriority w:val="9"/>
    <w:semiHidden/>
    <w:rsid w:val="008B35D9"/>
    <w:rPr>
      <w:rFonts w:asciiTheme="majorHAnsi" w:eastAsiaTheme="majorEastAsia" w:hAnsiTheme="majorHAnsi" w:cstheme="majorBidi"/>
      <w:b/>
      <w:bCs/>
      <w:sz w:val="26"/>
      <w:szCs w:val="26"/>
      <w:lang w:val="en-US"/>
    </w:rPr>
  </w:style>
  <w:style w:type="paragraph" w:styleId="PargrafodaLista">
    <w:name w:val="List Paragraph"/>
    <w:basedOn w:val="Normal"/>
    <w:qFormat/>
    <w:rsid w:val="003A2079"/>
    <w:pPr>
      <w:widowControl/>
      <w:spacing w:after="200" w:line="276" w:lineRule="auto"/>
      <w:ind w:left="720"/>
    </w:pPr>
    <w:rPr>
      <w:rFonts w:ascii="Calibri" w:eastAsia="Calibri" w:hAnsi="Calibri" w:cs="Calibri"/>
      <w:sz w:val="22"/>
      <w:szCs w:val="22"/>
      <w:lang w:val="pt-BR" w:eastAsia="ar-SA"/>
    </w:rPr>
  </w:style>
  <w:style w:type="character" w:customStyle="1" w:styleId="apple-converted-space">
    <w:name w:val="apple-converted-space"/>
    <w:basedOn w:val="Fontepargpadro"/>
    <w:rsid w:val="00A93960"/>
  </w:style>
</w:styles>
</file>

<file path=word/webSettings.xml><?xml version="1.0" encoding="utf-8"?>
<w:webSettings xmlns:r="http://schemas.openxmlformats.org/officeDocument/2006/relationships" xmlns:w="http://schemas.openxmlformats.org/wordprocessingml/2006/main">
  <w:divs>
    <w:div w:id="129914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581</Words>
  <Characters>3140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Ronaldo</dc:creator>
  <cp:lastModifiedBy>lucy.rocha</cp:lastModifiedBy>
  <cp:revision>4</cp:revision>
  <cp:lastPrinted>2016-08-30T17:09:00Z</cp:lastPrinted>
  <dcterms:created xsi:type="dcterms:W3CDTF">2016-09-19T16:53:00Z</dcterms:created>
  <dcterms:modified xsi:type="dcterms:W3CDTF">2016-09-19T17:16:00Z</dcterms:modified>
</cp:coreProperties>
</file>