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7B6" w:rsidRPr="009E0A1B" w:rsidRDefault="009C37B6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:rsidR="00754550" w:rsidRPr="009E0A1B" w:rsidRDefault="000E4060">
      <w:pPr>
        <w:tabs>
          <w:tab w:val="left" w:pos="2352"/>
        </w:tabs>
        <w:spacing w:after="0" w:line="240" w:lineRule="auto"/>
        <w:jc w:val="both"/>
      </w:pPr>
      <w:r w:rsidRPr="009E0A1B">
        <w:rPr>
          <w:rFonts w:ascii="Arial" w:hAnsi="Arial" w:cs="Arial"/>
          <w:b/>
          <w:bCs/>
        </w:rPr>
        <w:t xml:space="preserve">Processo: 1800-010384/2016 </w:t>
      </w:r>
    </w:p>
    <w:p w:rsidR="00754550" w:rsidRPr="009E0A1B" w:rsidRDefault="000E4060">
      <w:pPr>
        <w:tabs>
          <w:tab w:val="left" w:pos="2352"/>
        </w:tabs>
        <w:spacing w:after="0" w:line="240" w:lineRule="auto"/>
        <w:jc w:val="both"/>
      </w:pPr>
      <w:r w:rsidRPr="009E0A1B">
        <w:rPr>
          <w:rFonts w:ascii="Arial" w:hAnsi="Arial" w:cs="Arial"/>
          <w:b/>
          <w:bCs/>
        </w:rPr>
        <w:t>Interessado: MEYER COMÉRCIO E SERVIÇOS LTDA.</w:t>
      </w:r>
    </w:p>
    <w:p w:rsidR="00754550" w:rsidRPr="009E0A1B" w:rsidRDefault="000E406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9E0A1B">
        <w:rPr>
          <w:rFonts w:ascii="Arial" w:hAnsi="Arial" w:cs="Arial"/>
          <w:b/>
          <w:bCs/>
        </w:rPr>
        <w:t xml:space="preserve">Assunto: PAGAMENTO DE EMPRESA REFERENTE </w:t>
      </w:r>
      <w:r w:rsidR="002711D5" w:rsidRPr="009E0A1B">
        <w:rPr>
          <w:rFonts w:ascii="Arial" w:hAnsi="Arial" w:cs="Arial"/>
          <w:b/>
          <w:bCs/>
        </w:rPr>
        <w:t>A</w:t>
      </w:r>
      <w:r w:rsidRPr="009E0A1B">
        <w:rPr>
          <w:rFonts w:ascii="Arial" w:hAnsi="Arial" w:cs="Arial"/>
          <w:b/>
          <w:bCs/>
        </w:rPr>
        <w:t xml:space="preserve"> SERVIÇOS</w:t>
      </w:r>
      <w:r w:rsidR="002711D5" w:rsidRPr="009E0A1B">
        <w:rPr>
          <w:rFonts w:ascii="Arial" w:hAnsi="Arial" w:cs="Arial"/>
          <w:b/>
          <w:bCs/>
        </w:rPr>
        <w:t xml:space="preserve"> PRESTADOS</w:t>
      </w:r>
    </w:p>
    <w:p w:rsidR="00C04CD1" w:rsidRPr="009E0A1B" w:rsidRDefault="00C04CD1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:rsidR="00754550" w:rsidRPr="009E0A1B" w:rsidRDefault="00754550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754550" w:rsidRPr="009E0A1B" w:rsidRDefault="000E4060">
      <w:pPr>
        <w:spacing w:after="0" w:line="360" w:lineRule="auto"/>
        <w:jc w:val="both"/>
      </w:pPr>
      <w:r w:rsidRPr="009E0A1B">
        <w:rPr>
          <w:rFonts w:ascii="Arial" w:hAnsi="Arial" w:cs="Arial"/>
          <w:b/>
        </w:rPr>
        <w:tab/>
      </w:r>
      <w:r w:rsidRPr="009E0A1B">
        <w:rPr>
          <w:rFonts w:ascii="Arial" w:hAnsi="Arial" w:cs="Arial"/>
          <w:b/>
          <w:u w:val="single"/>
        </w:rPr>
        <w:t>1 – DOS FATOS</w:t>
      </w:r>
    </w:p>
    <w:p w:rsidR="00754550" w:rsidRPr="009E0A1B" w:rsidRDefault="000E4060">
      <w:pPr>
        <w:spacing w:after="0" w:line="360" w:lineRule="auto"/>
        <w:jc w:val="both"/>
      </w:pPr>
      <w:r w:rsidRPr="009E0A1B">
        <w:rPr>
          <w:rFonts w:ascii="Arial" w:hAnsi="Arial" w:cs="Arial"/>
        </w:rPr>
        <w:tab/>
        <w:t>Trata-se de Processo Administrativo referido, em três volumes, com 577 folhas, iniciada com a solicitação</w:t>
      </w:r>
      <w:r w:rsidR="005E1BA8" w:rsidRPr="009E0A1B">
        <w:rPr>
          <w:rFonts w:ascii="Arial" w:hAnsi="Arial" w:cs="Arial"/>
        </w:rPr>
        <w:t xml:space="preserve"> de pagamento</w:t>
      </w:r>
      <w:r w:rsidRPr="009E0A1B">
        <w:rPr>
          <w:rFonts w:ascii="Arial" w:hAnsi="Arial" w:cs="Arial"/>
        </w:rPr>
        <w:t xml:space="preserve">, </w:t>
      </w:r>
      <w:r w:rsidR="005E1BA8" w:rsidRPr="009E0A1B">
        <w:rPr>
          <w:rFonts w:ascii="Arial" w:hAnsi="Arial" w:cs="Arial"/>
        </w:rPr>
        <w:t>feita pela</w:t>
      </w:r>
      <w:r w:rsidRPr="009E0A1B">
        <w:rPr>
          <w:rFonts w:ascii="Arial" w:hAnsi="Arial" w:cs="Arial"/>
        </w:rPr>
        <w:t xml:space="preserve"> representante legal</w:t>
      </w:r>
      <w:r w:rsidR="008E2C46" w:rsidRPr="009E0A1B">
        <w:rPr>
          <w:rFonts w:ascii="Arial" w:hAnsi="Arial" w:cs="Arial"/>
        </w:rPr>
        <w:t xml:space="preserve"> da empresa interessada, </w:t>
      </w:r>
      <w:r w:rsidR="005E1BA8" w:rsidRPr="009E0A1B">
        <w:rPr>
          <w:rFonts w:ascii="Arial" w:hAnsi="Arial" w:cs="Arial"/>
        </w:rPr>
        <w:t xml:space="preserve">Senhora </w:t>
      </w:r>
      <w:r w:rsidR="008E2C46" w:rsidRPr="009E0A1B">
        <w:rPr>
          <w:rFonts w:ascii="Arial" w:hAnsi="Arial" w:cs="Arial"/>
        </w:rPr>
        <w:t>Mônica Lúcia Barbosa Nicácio,</w:t>
      </w:r>
      <w:r w:rsidRPr="009E0A1B">
        <w:rPr>
          <w:rFonts w:ascii="Arial" w:hAnsi="Arial" w:cs="Arial"/>
        </w:rPr>
        <w:t xml:space="preserve"> d</w:t>
      </w:r>
      <w:r w:rsidR="006175AC" w:rsidRPr="009E0A1B">
        <w:rPr>
          <w:rFonts w:ascii="Arial" w:hAnsi="Arial" w:cs="Arial"/>
        </w:rPr>
        <w:t xml:space="preserve">atado em 10 de outubro de 2016, </w:t>
      </w:r>
      <w:r w:rsidRPr="009E0A1B">
        <w:rPr>
          <w:rFonts w:ascii="Arial" w:hAnsi="Arial" w:cs="Arial"/>
        </w:rPr>
        <w:t>referente</w:t>
      </w:r>
      <w:r w:rsidR="006175AC" w:rsidRPr="009E0A1B">
        <w:rPr>
          <w:rFonts w:ascii="Arial" w:hAnsi="Arial" w:cs="Arial"/>
        </w:rPr>
        <w:t>s</w:t>
      </w:r>
      <w:r w:rsidR="00CB797A" w:rsidRPr="009E0A1B">
        <w:rPr>
          <w:rFonts w:ascii="Arial" w:hAnsi="Arial" w:cs="Arial"/>
        </w:rPr>
        <w:t xml:space="preserve"> à</w:t>
      </w:r>
      <w:r w:rsidRPr="009E0A1B">
        <w:rPr>
          <w:rFonts w:ascii="Arial" w:hAnsi="Arial" w:cs="Arial"/>
        </w:rPr>
        <w:t xml:space="preserve"> presta</w:t>
      </w:r>
      <w:r w:rsidR="00CB797A" w:rsidRPr="009E0A1B">
        <w:rPr>
          <w:rFonts w:ascii="Arial" w:hAnsi="Arial" w:cs="Arial"/>
        </w:rPr>
        <w:t xml:space="preserve">ção de serviços </w:t>
      </w:r>
      <w:r w:rsidRPr="009E0A1B">
        <w:rPr>
          <w:rFonts w:ascii="Arial" w:hAnsi="Arial" w:cs="Arial"/>
        </w:rPr>
        <w:t>de locaçã</w:t>
      </w:r>
      <w:r w:rsidR="00412939" w:rsidRPr="009E0A1B">
        <w:rPr>
          <w:rFonts w:ascii="Arial" w:hAnsi="Arial" w:cs="Arial"/>
        </w:rPr>
        <w:t xml:space="preserve">o de equipamentos reprográficos, </w:t>
      </w:r>
      <w:r w:rsidRPr="009E0A1B">
        <w:rPr>
          <w:rFonts w:ascii="Arial" w:hAnsi="Arial" w:cs="Arial"/>
        </w:rPr>
        <w:t>instalados na sede</w:t>
      </w:r>
      <w:r w:rsidR="008E2C46" w:rsidRPr="009E0A1B">
        <w:rPr>
          <w:rFonts w:ascii="Arial" w:hAnsi="Arial" w:cs="Arial"/>
        </w:rPr>
        <w:t xml:space="preserve"> da Secretaria de Estado da Educação</w:t>
      </w:r>
      <w:r w:rsidRPr="009E0A1B">
        <w:rPr>
          <w:rFonts w:ascii="Arial" w:hAnsi="Arial" w:cs="Arial"/>
        </w:rPr>
        <w:t>, nas CRES e nas escolas relacionadas nas planilhas (fls. 04 a 12)</w:t>
      </w:r>
      <w:r w:rsidRPr="009E0A1B">
        <w:rPr>
          <w:rFonts w:ascii="Arial" w:hAnsi="Arial" w:cs="Arial"/>
          <w:b/>
        </w:rPr>
        <w:t>,</w:t>
      </w:r>
      <w:r w:rsidRPr="009E0A1B">
        <w:rPr>
          <w:rFonts w:ascii="Arial" w:hAnsi="Arial" w:cs="Arial"/>
        </w:rPr>
        <w:t xml:space="preserve"> durante o período de 26/06/2016 à 25/10/2016, perfazendo quatro meses de fornecimento sem contrato, uma vez que, o </w:t>
      </w:r>
      <w:r w:rsidR="00F51840" w:rsidRPr="009E0A1B">
        <w:rPr>
          <w:rFonts w:ascii="Arial" w:hAnsi="Arial" w:cs="Arial"/>
        </w:rPr>
        <w:t>contrato nº 25/2012</w:t>
      </w:r>
      <w:r w:rsidRPr="009E0A1B">
        <w:rPr>
          <w:rFonts w:ascii="Arial" w:hAnsi="Arial" w:cs="Arial"/>
        </w:rPr>
        <w:t xml:space="preserve"> foi expirado em 25 de junho do corrente ano, </w:t>
      </w:r>
      <w:r w:rsidR="008E2C46" w:rsidRPr="009E0A1B">
        <w:rPr>
          <w:rFonts w:ascii="Arial" w:hAnsi="Arial" w:cs="Arial"/>
        </w:rPr>
        <w:t xml:space="preserve">cujo valor </w:t>
      </w:r>
      <w:r w:rsidR="00EE2F63" w:rsidRPr="009E0A1B">
        <w:rPr>
          <w:rFonts w:ascii="Arial" w:hAnsi="Arial" w:cs="Arial"/>
        </w:rPr>
        <w:t xml:space="preserve">mensal pactuado no </w:t>
      </w:r>
      <w:r w:rsidR="00F51840" w:rsidRPr="009E0A1B">
        <w:rPr>
          <w:rFonts w:ascii="Arial" w:hAnsi="Arial" w:cs="Arial"/>
        </w:rPr>
        <w:t>mesmo,</w:t>
      </w:r>
      <w:r w:rsidR="00EE2F63" w:rsidRPr="009E0A1B">
        <w:rPr>
          <w:rFonts w:ascii="Arial" w:hAnsi="Arial" w:cs="Arial"/>
        </w:rPr>
        <w:t xml:space="preserve"> isto é, R$ 167.660,00 (cento e sessenta e sete mil e seiscentos e sessenta reais), </w:t>
      </w:r>
      <w:r w:rsidRPr="009E0A1B">
        <w:rPr>
          <w:rFonts w:ascii="Arial" w:hAnsi="Arial" w:cs="Arial"/>
        </w:rPr>
        <w:t xml:space="preserve">fora </w:t>
      </w:r>
      <w:r w:rsidR="00F51840" w:rsidRPr="009E0A1B">
        <w:rPr>
          <w:rFonts w:ascii="Arial" w:hAnsi="Arial" w:cs="Arial"/>
        </w:rPr>
        <w:t>mantido</w:t>
      </w:r>
      <w:r w:rsidRPr="009E0A1B">
        <w:rPr>
          <w:rFonts w:ascii="Arial" w:hAnsi="Arial" w:cs="Arial"/>
        </w:rPr>
        <w:t>,</w:t>
      </w:r>
      <w:r w:rsidR="00EE2F63" w:rsidRPr="009E0A1B">
        <w:rPr>
          <w:rFonts w:ascii="Arial" w:hAnsi="Arial" w:cs="Arial"/>
        </w:rPr>
        <w:t xml:space="preserve"> </w:t>
      </w:r>
      <w:r w:rsidRPr="009E0A1B">
        <w:rPr>
          <w:rFonts w:ascii="Arial" w:hAnsi="Arial" w:cs="Arial"/>
        </w:rPr>
        <w:t>perfazendo o valor total de R$ 670.64</w:t>
      </w:r>
      <w:r w:rsidR="00EE2F63" w:rsidRPr="009E0A1B">
        <w:rPr>
          <w:rFonts w:ascii="Arial" w:hAnsi="Arial" w:cs="Arial"/>
        </w:rPr>
        <w:t xml:space="preserve">0,00 (seiscentos e setenta mil e </w:t>
      </w:r>
      <w:r w:rsidRPr="009E0A1B">
        <w:rPr>
          <w:rFonts w:ascii="Arial" w:hAnsi="Arial" w:cs="Arial"/>
        </w:rPr>
        <w:t>seiscentos e quarenta reais) (fls. (02 a 12).</w:t>
      </w:r>
    </w:p>
    <w:p w:rsidR="00754550" w:rsidRPr="009E0A1B" w:rsidRDefault="00754550">
      <w:pPr>
        <w:tabs>
          <w:tab w:val="left" w:pos="2352"/>
        </w:tabs>
        <w:spacing w:after="0" w:line="360" w:lineRule="auto"/>
        <w:jc w:val="both"/>
      </w:pPr>
    </w:p>
    <w:p w:rsidR="00754550" w:rsidRPr="009E0A1B" w:rsidRDefault="000E4060">
      <w:pPr>
        <w:spacing w:after="0" w:line="360" w:lineRule="auto"/>
        <w:jc w:val="both"/>
      </w:pPr>
      <w:r w:rsidRPr="009E0A1B">
        <w:rPr>
          <w:rFonts w:ascii="Arial" w:hAnsi="Arial" w:cs="Arial"/>
          <w:b/>
        </w:rPr>
        <w:tab/>
      </w:r>
      <w:r w:rsidRPr="009E0A1B">
        <w:rPr>
          <w:rFonts w:ascii="Arial" w:hAnsi="Arial" w:cs="Arial"/>
          <w:b/>
          <w:u w:val="single"/>
        </w:rPr>
        <w:t>2 – DO MÉRITO</w:t>
      </w:r>
    </w:p>
    <w:p w:rsidR="00754550" w:rsidRPr="009E0A1B" w:rsidRDefault="000E406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E0A1B">
        <w:rPr>
          <w:rFonts w:ascii="Arial" w:hAnsi="Arial" w:cs="Arial"/>
        </w:rPr>
        <w:t>Compulsando os autos, verifica-se que este Processo Administrativo se encontra</w:t>
      </w:r>
      <w:r w:rsidR="008E7EBD" w:rsidRPr="009E0A1B">
        <w:rPr>
          <w:rFonts w:ascii="Arial" w:hAnsi="Arial" w:cs="Arial"/>
        </w:rPr>
        <w:t xml:space="preserve"> </w:t>
      </w:r>
      <w:r w:rsidRPr="009E0A1B">
        <w:rPr>
          <w:rFonts w:ascii="Arial" w:hAnsi="Arial" w:cs="Arial"/>
        </w:rPr>
        <w:t>em diligência</w:t>
      </w:r>
      <w:r w:rsidR="008E2C46" w:rsidRPr="009E0A1B">
        <w:rPr>
          <w:rFonts w:ascii="Arial" w:hAnsi="Arial" w:cs="Arial"/>
        </w:rPr>
        <w:t xml:space="preserve"> por iniciativa da </w:t>
      </w:r>
      <w:r w:rsidR="008E2C46" w:rsidRPr="009E0A1B">
        <w:rPr>
          <w:rFonts w:ascii="Arial" w:hAnsi="Arial" w:cs="Arial"/>
          <w:b/>
        </w:rPr>
        <w:t>Procuradoria Geral do Estado/PGE</w:t>
      </w:r>
      <w:r w:rsidRPr="009E0A1B">
        <w:rPr>
          <w:rFonts w:ascii="Arial" w:hAnsi="Arial" w:cs="Arial"/>
        </w:rPr>
        <w:t xml:space="preserve">, para que atenda </w:t>
      </w:r>
      <w:r w:rsidR="008E2C46" w:rsidRPr="009E0A1B">
        <w:rPr>
          <w:rFonts w:ascii="Arial" w:hAnsi="Arial" w:cs="Arial"/>
        </w:rPr>
        <w:t>a</w:t>
      </w:r>
      <w:r w:rsidR="00AD7AB2" w:rsidRPr="009E0A1B">
        <w:rPr>
          <w:rFonts w:ascii="Arial" w:hAnsi="Arial" w:cs="Arial"/>
        </w:rPr>
        <w:t xml:space="preserve"> </w:t>
      </w:r>
      <w:r w:rsidRPr="009E0A1B">
        <w:rPr>
          <w:rFonts w:ascii="Arial" w:hAnsi="Arial" w:cs="Arial"/>
        </w:rPr>
        <w:t xml:space="preserve">legislação pertinente e da documentação que possibilita a análise do feito. </w:t>
      </w:r>
    </w:p>
    <w:p w:rsidR="00754550" w:rsidRPr="009E0A1B" w:rsidRDefault="000E4060">
      <w:pPr>
        <w:spacing w:after="0" w:line="360" w:lineRule="auto"/>
        <w:ind w:firstLine="708"/>
        <w:jc w:val="both"/>
      </w:pPr>
      <w:r w:rsidRPr="009E0A1B">
        <w:rPr>
          <w:rFonts w:ascii="Arial" w:hAnsi="Arial" w:cs="Arial"/>
        </w:rPr>
        <w:t>Conforme constam nos autos, já analisados pela Procuradoria Geral do Estado, a qual se manifestou por intermédio Despacho PGE/PLIC-CD nº 2782/2016 (fls. 566/570) e do Despacho PGE/GAB nº 2925/2016 (fl. 571)</w:t>
      </w:r>
      <w:r w:rsidR="004D3CF0" w:rsidRPr="009E0A1B">
        <w:rPr>
          <w:rFonts w:ascii="Arial" w:hAnsi="Arial" w:cs="Arial"/>
        </w:rPr>
        <w:t>, onde se estabelece condicionantes</w:t>
      </w:r>
      <w:r w:rsidR="00D9308E" w:rsidRPr="009E0A1B">
        <w:rPr>
          <w:rFonts w:ascii="Arial" w:hAnsi="Arial" w:cs="Arial"/>
        </w:rPr>
        <w:t xml:space="preserve"> a serem atendidas</w:t>
      </w:r>
      <w:r w:rsidR="004D3CF0" w:rsidRPr="009E0A1B">
        <w:rPr>
          <w:rFonts w:ascii="Arial" w:hAnsi="Arial" w:cs="Arial"/>
        </w:rPr>
        <w:t xml:space="preserve">, para possibilitar </w:t>
      </w:r>
      <w:r w:rsidR="00D9308E" w:rsidRPr="009E0A1B">
        <w:rPr>
          <w:rFonts w:ascii="Arial" w:hAnsi="Arial" w:cs="Arial"/>
        </w:rPr>
        <w:t xml:space="preserve">juridicamente </w:t>
      </w:r>
      <w:r w:rsidR="004D3CF0" w:rsidRPr="009E0A1B">
        <w:rPr>
          <w:rFonts w:ascii="Arial" w:hAnsi="Arial" w:cs="Arial"/>
        </w:rPr>
        <w:t>o pagamento</w:t>
      </w:r>
      <w:r w:rsidR="00D9308E" w:rsidRPr="009E0A1B">
        <w:rPr>
          <w:rFonts w:ascii="Arial" w:hAnsi="Arial" w:cs="Arial"/>
        </w:rPr>
        <w:t>, especialmente:</w:t>
      </w:r>
      <w:r w:rsidR="004D3CF0" w:rsidRPr="009E0A1B">
        <w:rPr>
          <w:rFonts w:ascii="Arial" w:hAnsi="Arial" w:cs="Arial"/>
        </w:rPr>
        <w:t xml:space="preserve"> </w:t>
      </w:r>
    </w:p>
    <w:p w:rsidR="00754550" w:rsidRPr="009E0A1B" w:rsidRDefault="009E0A1B" w:rsidP="002D2944">
      <w:pPr>
        <w:pStyle w:val="PargrafodaLista"/>
        <w:spacing w:after="0" w:line="360" w:lineRule="auto"/>
        <w:ind w:left="1068"/>
      </w:pPr>
      <w:r w:rsidRPr="009E0A1B">
        <w:rPr>
          <w:rFonts w:ascii="Arial" w:hAnsi="Arial" w:cs="Arial"/>
        </w:rPr>
        <w:t xml:space="preserve"> </w:t>
      </w:r>
      <w:r w:rsidR="002D2944" w:rsidRPr="009E0A1B">
        <w:rPr>
          <w:rFonts w:ascii="Arial" w:hAnsi="Arial" w:cs="Arial"/>
        </w:rPr>
        <w:t xml:space="preserve">“● </w:t>
      </w:r>
      <w:r w:rsidR="000E4060" w:rsidRPr="009E0A1B">
        <w:rPr>
          <w:rFonts w:ascii="Arial" w:hAnsi="Arial" w:cs="Arial"/>
        </w:rPr>
        <w:t>A liquidação da despesa ilegalmente contratada, nos rígidos termos da Lei Federal nº 4320/1964, e a apuração da boa ou má fé do particular ilegalmente contratado, PREVIAMENTE ao pagamento, realizadas através de processo administrativo instaurado, no âmbito do órgão/entidade, especificamente para esse fim. Assim,</w:t>
      </w:r>
      <w:r w:rsidR="008F6A79" w:rsidRPr="009E0A1B">
        <w:rPr>
          <w:rFonts w:ascii="Arial" w:hAnsi="Arial" w:cs="Arial"/>
        </w:rPr>
        <w:t xml:space="preserve"> portanto</w:t>
      </w:r>
      <w:r w:rsidR="00413392" w:rsidRPr="009E0A1B">
        <w:rPr>
          <w:rFonts w:ascii="Arial" w:hAnsi="Arial" w:cs="Arial"/>
        </w:rPr>
        <w:t>,</w:t>
      </w:r>
      <w:r w:rsidR="008F6A79" w:rsidRPr="009E0A1B">
        <w:rPr>
          <w:rFonts w:ascii="Arial" w:hAnsi="Arial" w:cs="Arial"/>
        </w:rPr>
        <w:t xml:space="preserve"> evidencia-se</w:t>
      </w:r>
      <w:r w:rsidR="00413392" w:rsidRPr="009E0A1B">
        <w:rPr>
          <w:rFonts w:ascii="Arial" w:hAnsi="Arial" w:cs="Arial"/>
        </w:rPr>
        <w:t xml:space="preserve"> </w:t>
      </w:r>
      <w:r w:rsidR="00AD7AB2" w:rsidRPr="009E0A1B">
        <w:rPr>
          <w:rFonts w:ascii="Arial" w:hAnsi="Arial" w:cs="Arial"/>
        </w:rPr>
        <w:t>a</w:t>
      </w:r>
      <w:r w:rsidR="000E4060" w:rsidRPr="009E0A1B">
        <w:rPr>
          <w:rFonts w:ascii="Arial" w:hAnsi="Arial" w:cs="Arial"/>
        </w:rPr>
        <w:t xml:space="preserve"> necessidade de </w:t>
      </w:r>
      <w:r w:rsidR="000E4060" w:rsidRPr="009E0A1B">
        <w:rPr>
          <w:rFonts w:ascii="Arial" w:hAnsi="Arial" w:cs="Arial"/>
          <w:b/>
        </w:rPr>
        <w:t>prévia auditoria</w:t>
      </w:r>
      <w:r w:rsidR="000E4060" w:rsidRPr="009E0A1B">
        <w:rPr>
          <w:rFonts w:ascii="Arial" w:hAnsi="Arial" w:cs="Arial"/>
        </w:rPr>
        <w:t>, para se analisar as possíveis irregularidades, sabendo que os valores dos serviços prestados deverão ser liquidados pelo setor técnico competente da administração pública, com levantamento da</w:t>
      </w:r>
      <w:r w:rsidR="00AD7AB2" w:rsidRPr="009E0A1B">
        <w:rPr>
          <w:rFonts w:ascii="Arial" w:hAnsi="Arial" w:cs="Arial"/>
        </w:rPr>
        <w:t xml:space="preserve"> real</w:t>
      </w:r>
      <w:r w:rsidR="000E4060" w:rsidRPr="009E0A1B">
        <w:rPr>
          <w:rFonts w:ascii="Arial" w:hAnsi="Arial" w:cs="Arial"/>
        </w:rPr>
        <w:t xml:space="preserve"> prestação de contas dos meses de serviços efetivamente prestados, tendo por base os títulos e documentos comprobatórios do re</w:t>
      </w:r>
      <w:r w:rsidR="002D2944" w:rsidRPr="009E0A1B">
        <w:rPr>
          <w:rFonts w:ascii="Arial" w:hAnsi="Arial" w:cs="Arial"/>
        </w:rPr>
        <w:t>spectivo crédito, para que seja</w:t>
      </w:r>
      <w:r w:rsidR="000E4060" w:rsidRPr="009E0A1B">
        <w:rPr>
          <w:rFonts w:ascii="Arial" w:hAnsi="Arial" w:cs="Arial"/>
        </w:rPr>
        <w:t xml:space="preserve"> efetivamente comprovado e retificado o </w:t>
      </w:r>
      <w:r w:rsidR="000E4060" w:rsidRPr="009E0A1B">
        <w:rPr>
          <w:rFonts w:ascii="Arial" w:hAnsi="Arial" w:cs="Arial"/>
          <w:i/>
        </w:rPr>
        <w:t>quantum debeatur</w:t>
      </w:r>
      <w:r w:rsidR="002D2944" w:rsidRPr="009E0A1B">
        <w:rPr>
          <w:rFonts w:ascii="Arial" w:hAnsi="Arial" w:cs="Arial"/>
        </w:rPr>
        <w:t xml:space="preserve"> </w:t>
      </w:r>
      <w:r w:rsidR="000E4060" w:rsidRPr="009E0A1B">
        <w:rPr>
          <w:rFonts w:ascii="Arial" w:hAnsi="Arial" w:cs="Arial"/>
        </w:rPr>
        <w:t>a ser pago à empresa.</w:t>
      </w:r>
    </w:p>
    <w:p w:rsidR="00754550" w:rsidRPr="009E0A1B" w:rsidRDefault="00754550">
      <w:pPr>
        <w:pStyle w:val="PargrafodaLista"/>
        <w:spacing w:after="0" w:line="360" w:lineRule="auto"/>
        <w:ind w:left="1788"/>
        <w:rPr>
          <w:rFonts w:ascii="Arial" w:hAnsi="Arial" w:cs="Arial"/>
        </w:rPr>
      </w:pPr>
    </w:p>
    <w:p w:rsidR="00754550" w:rsidRPr="009E0A1B" w:rsidRDefault="002D2944" w:rsidP="002D2944">
      <w:pPr>
        <w:pStyle w:val="PargrafodaLista"/>
        <w:spacing w:after="0" w:line="360" w:lineRule="auto"/>
        <w:ind w:left="1068"/>
      </w:pPr>
      <w:r w:rsidRPr="009E0A1B">
        <w:rPr>
          <w:rFonts w:ascii="Arial" w:hAnsi="Arial" w:cs="Arial"/>
        </w:rPr>
        <w:t xml:space="preserve">● </w:t>
      </w:r>
      <w:r w:rsidR="000E4060" w:rsidRPr="009E0A1B">
        <w:rPr>
          <w:rFonts w:ascii="Arial" w:hAnsi="Arial" w:cs="Arial"/>
        </w:rPr>
        <w:t>Remessa dos autos a</w:t>
      </w:r>
      <w:r w:rsidR="000E4060" w:rsidRPr="009E0A1B">
        <w:rPr>
          <w:rFonts w:ascii="Arial" w:hAnsi="Arial" w:cs="Arial"/>
          <w:u w:val="single"/>
        </w:rPr>
        <w:t xml:space="preserve"> CONTROLADORIA GERAL DO ESTADO para que realize a análise da prestação dos serviços executados, determinando, indubitavelmente, o quantum debeatur, levando em consideração os atestados nos autos, e após análise técnica da documentação contábil respectiva. </w:t>
      </w:r>
    </w:p>
    <w:p w:rsidR="00AD7AB2" w:rsidRPr="009E0A1B" w:rsidRDefault="00AD7AB2" w:rsidP="00AD7AB2">
      <w:pPr>
        <w:pStyle w:val="PargrafodaLista"/>
      </w:pPr>
    </w:p>
    <w:p w:rsidR="00754550" w:rsidRPr="009E0A1B" w:rsidRDefault="002D2944" w:rsidP="002D2944">
      <w:pPr>
        <w:pStyle w:val="PargrafodaLista"/>
        <w:spacing w:after="0" w:line="360" w:lineRule="auto"/>
        <w:ind w:left="1068"/>
      </w:pPr>
      <w:r w:rsidRPr="009E0A1B">
        <w:rPr>
          <w:rFonts w:ascii="Arial" w:hAnsi="Arial" w:cs="Arial"/>
        </w:rPr>
        <w:t xml:space="preserve">● </w:t>
      </w:r>
      <w:r w:rsidR="000E4060" w:rsidRPr="009E0A1B">
        <w:rPr>
          <w:rFonts w:ascii="Arial" w:hAnsi="Arial" w:cs="Arial"/>
        </w:rPr>
        <w:t>Após a apuração, PREVIAMENTE ao pagamento, da conduta dos agentes públicos que omissiva ou comissivamente, tenham concorrido para a ocorrência da ilegalidade, devendo ser investigada através de processo administrativo instaurado, no âmbito do órgão/entidade</w:t>
      </w:r>
      <w:r w:rsidR="008E7EBD" w:rsidRPr="009E0A1B">
        <w:rPr>
          <w:rFonts w:ascii="Arial" w:hAnsi="Arial" w:cs="Arial"/>
        </w:rPr>
        <w:t xml:space="preserve"> </w:t>
      </w:r>
      <w:r w:rsidR="00FF61C4" w:rsidRPr="009E0A1B">
        <w:rPr>
          <w:rFonts w:ascii="Arial" w:hAnsi="Arial" w:cs="Arial"/>
        </w:rPr>
        <w:t>(SEDUC)</w:t>
      </w:r>
      <w:r w:rsidR="000E4060" w:rsidRPr="009E0A1B">
        <w:rPr>
          <w:rFonts w:ascii="Arial" w:hAnsi="Arial" w:cs="Arial"/>
        </w:rPr>
        <w:t>, especificamente para esse fim, onde se apurem e se imputem as respectivas responsabilidades.</w:t>
      </w:r>
      <w:r w:rsidRPr="009E0A1B">
        <w:rPr>
          <w:rFonts w:ascii="Arial" w:hAnsi="Arial" w:cs="Arial"/>
        </w:rPr>
        <w:t>”</w:t>
      </w:r>
    </w:p>
    <w:p w:rsidR="00754550" w:rsidRPr="009E0A1B" w:rsidRDefault="00754550">
      <w:pPr>
        <w:pStyle w:val="PargrafodaLista"/>
        <w:spacing w:after="0" w:line="360" w:lineRule="auto"/>
        <w:ind w:left="1068"/>
        <w:rPr>
          <w:rFonts w:ascii="Arial" w:hAnsi="Arial" w:cs="Arial"/>
        </w:rPr>
      </w:pPr>
    </w:p>
    <w:p w:rsidR="00754550" w:rsidRPr="009E0A1B" w:rsidRDefault="000E4060">
      <w:pPr>
        <w:tabs>
          <w:tab w:val="left" w:pos="684"/>
        </w:tabs>
        <w:spacing w:after="0" w:line="360" w:lineRule="auto"/>
        <w:jc w:val="both"/>
      </w:pPr>
      <w:r w:rsidRPr="009E0A1B">
        <w:rPr>
          <w:rFonts w:ascii="Arial" w:hAnsi="Arial" w:cs="Arial"/>
        </w:rPr>
        <w:tab/>
        <w:t xml:space="preserve">  Destarte, constatamos que os autos do proce</w:t>
      </w:r>
      <w:r w:rsidR="002D2944" w:rsidRPr="009E0A1B">
        <w:rPr>
          <w:rFonts w:ascii="Arial" w:hAnsi="Arial" w:cs="Arial"/>
        </w:rPr>
        <w:t xml:space="preserve">sso foram encaminhados à SEDUC </w:t>
      </w:r>
      <w:r w:rsidRPr="009E0A1B">
        <w:rPr>
          <w:rFonts w:ascii="Arial" w:hAnsi="Arial" w:cs="Arial"/>
        </w:rPr>
        <w:t>para as providências de s</w:t>
      </w:r>
      <w:r w:rsidR="002D2944" w:rsidRPr="009E0A1B">
        <w:rPr>
          <w:rFonts w:ascii="Arial" w:hAnsi="Arial" w:cs="Arial"/>
        </w:rPr>
        <w:t>ua competência, as quais citam</w:t>
      </w:r>
      <w:r w:rsidRPr="009E0A1B">
        <w:rPr>
          <w:rFonts w:ascii="Arial" w:hAnsi="Arial" w:cs="Arial"/>
        </w:rPr>
        <w:t xml:space="preserve"> abaixo:</w:t>
      </w:r>
    </w:p>
    <w:p w:rsidR="00754550" w:rsidRPr="009E0A1B" w:rsidRDefault="000E4060" w:rsidP="009E0A1B">
      <w:pPr>
        <w:pStyle w:val="PargrafodaLista"/>
        <w:numPr>
          <w:ilvl w:val="0"/>
          <w:numId w:val="2"/>
        </w:numPr>
        <w:spacing w:after="0" w:line="360" w:lineRule="auto"/>
      </w:pPr>
      <w:r w:rsidRPr="009E0A1B">
        <w:rPr>
          <w:rFonts w:ascii="Arial" w:hAnsi="Arial" w:cs="Arial"/>
        </w:rPr>
        <w:t xml:space="preserve">A Assessora Técnica Especial sugeriu através de Despacho nº 15144/2016 de 29 de novembro de 2016, o enviou ao SEGAB para publicação da portaria onde designa servidores para compor uma COMISSÃO DE SINDICÂNCIA ADMINISTRATIVA (fl. 572). </w:t>
      </w:r>
    </w:p>
    <w:p w:rsidR="00754550" w:rsidRPr="009E0A1B" w:rsidRDefault="000E4060" w:rsidP="009E0A1B">
      <w:pPr>
        <w:pStyle w:val="PargrafodaLista"/>
        <w:numPr>
          <w:ilvl w:val="0"/>
          <w:numId w:val="2"/>
        </w:numPr>
        <w:spacing w:after="0" w:line="360" w:lineRule="auto"/>
      </w:pPr>
      <w:r w:rsidRPr="009E0A1B">
        <w:rPr>
          <w:rFonts w:ascii="Arial" w:hAnsi="Arial" w:cs="Arial"/>
        </w:rPr>
        <w:t>Na mesma folha (572) foi abonado o “de acordo” do Secretário Executivo de Gestão Interna</w:t>
      </w:r>
      <w:r w:rsidR="00B47E0F" w:rsidRPr="009E0A1B">
        <w:rPr>
          <w:rFonts w:ascii="Arial" w:hAnsi="Arial" w:cs="Arial"/>
        </w:rPr>
        <w:t>,</w:t>
      </w:r>
      <w:r w:rsidRPr="009E0A1B">
        <w:rPr>
          <w:rFonts w:ascii="Arial" w:hAnsi="Arial" w:cs="Arial"/>
        </w:rPr>
        <w:t xml:space="preserve"> para a publicação da referida portaria.</w:t>
      </w:r>
    </w:p>
    <w:p w:rsidR="00754550" w:rsidRPr="009E0A1B" w:rsidRDefault="000E4060" w:rsidP="009E0A1B">
      <w:pPr>
        <w:pStyle w:val="PargrafodaLista"/>
        <w:numPr>
          <w:ilvl w:val="0"/>
          <w:numId w:val="2"/>
        </w:numPr>
        <w:spacing w:after="0" w:line="360" w:lineRule="auto"/>
      </w:pPr>
      <w:r w:rsidRPr="009E0A1B">
        <w:rPr>
          <w:rFonts w:ascii="Arial" w:hAnsi="Arial" w:cs="Arial"/>
        </w:rPr>
        <w:t>Não foi anexada a portaria nem a publicação da mesma no DOE</w:t>
      </w:r>
      <w:r w:rsidR="00B47E0F" w:rsidRPr="009E0A1B">
        <w:rPr>
          <w:rFonts w:ascii="Arial" w:hAnsi="Arial" w:cs="Arial"/>
        </w:rPr>
        <w:t>,</w:t>
      </w:r>
      <w:r w:rsidRPr="009E0A1B">
        <w:rPr>
          <w:rFonts w:ascii="Arial" w:hAnsi="Arial" w:cs="Arial"/>
        </w:rPr>
        <w:t xml:space="preserve"> conforme as alíneas “</w:t>
      </w:r>
      <w:r w:rsidRPr="009E0A1B">
        <w:rPr>
          <w:rFonts w:ascii="Arial" w:hAnsi="Arial" w:cs="Arial"/>
          <w:i/>
        </w:rPr>
        <w:t>a</w:t>
      </w:r>
      <w:r w:rsidRPr="009E0A1B">
        <w:rPr>
          <w:rFonts w:ascii="Arial" w:hAnsi="Arial" w:cs="Arial"/>
        </w:rPr>
        <w:t>” e “</w:t>
      </w:r>
      <w:r w:rsidRPr="009E0A1B">
        <w:rPr>
          <w:rFonts w:ascii="Arial" w:hAnsi="Arial" w:cs="Arial"/>
          <w:i/>
        </w:rPr>
        <w:t>b</w:t>
      </w:r>
      <w:r w:rsidRPr="009E0A1B">
        <w:rPr>
          <w:rFonts w:ascii="Arial" w:hAnsi="Arial" w:cs="Arial"/>
        </w:rPr>
        <w:t>”</w:t>
      </w:r>
      <w:r w:rsidR="001D2491" w:rsidRPr="009E0A1B">
        <w:rPr>
          <w:rFonts w:ascii="Arial" w:hAnsi="Arial" w:cs="Arial"/>
        </w:rPr>
        <w:t>,</w:t>
      </w:r>
      <w:r w:rsidRPr="009E0A1B">
        <w:rPr>
          <w:rFonts w:ascii="Arial" w:hAnsi="Arial" w:cs="Arial"/>
        </w:rPr>
        <w:t xml:space="preserve"> </w:t>
      </w:r>
      <w:r w:rsidR="001D2491" w:rsidRPr="009E0A1B">
        <w:rPr>
          <w:rFonts w:ascii="Arial" w:hAnsi="Arial" w:cs="Arial"/>
        </w:rPr>
        <w:t>acima</w:t>
      </w:r>
      <w:r w:rsidRPr="009E0A1B">
        <w:rPr>
          <w:rFonts w:ascii="Arial" w:hAnsi="Arial" w:cs="Arial"/>
        </w:rPr>
        <w:t>.</w:t>
      </w:r>
    </w:p>
    <w:p w:rsidR="00754550" w:rsidRPr="009E0A1B" w:rsidRDefault="000E4060" w:rsidP="009E0A1B">
      <w:pPr>
        <w:pStyle w:val="PargrafodaLista"/>
        <w:numPr>
          <w:ilvl w:val="0"/>
          <w:numId w:val="2"/>
        </w:numPr>
        <w:spacing w:after="0" w:line="360" w:lineRule="auto"/>
      </w:pPr>
      <w:r w:rsidRPr="009E0A1B">
        <w:rPr>
          <w:rFonts w:ascii="Arial" w:hAnsi="Arial" w:cs="Arial"/>
        </w:rPr>
        <w:t>Foi anexado aos autos o Extrato do C</w:t>
      </w:r>
      <w:r w:rsidR="00B47E0F" w:rsidRPr="009E0A1B">
        <w:rPr>
          <w:rFonts w:ascii="Arial" w:hAnsi="Arial" w:cs="Arial"/>
        </w:rPr>
        <w:t>ontrato nº SEDUC 023/2016, o qual não guarda nenhuma relação com o processo</w:t>
      </w:r>
      <w:r w:rsidRPr="009E0A1B">
        <w:rPr>
          <w:rFonts w:ascii="Arial" w:hAnsi="Arial" w:cs="Arial"/>
        </w:rPr>
        <w:t xml:space="preserve"> ora analisado (fls. 573 e 574).</w:t>
      </w:r>
    </w:p>
    <w:p w:rsidR="00754550" w:rsidRPr="009E0A1B" w:rsidRDefault="000E4060" w:rsidP="009E0A1B">
      <w:pPr>
        <w:pStyle w:val="PargrafodaLista"/>
        <w:numPr>
          <w:ilvl w:val="0"/>
          <w:numId w:val="2"/>
        </w:numPr>
        <w:spacing w:after="0" w:line="360" w:lineRule="auto"/>
      </w:pPr>
      <w:r w:rsidRPr="009E0A1B">
        <w:rPr>
          <w:rFonts w:ascii="Arial" w:hAnsi="Arial" w:cs="Arial"/>
        </w:rPr>
        <w:t>Na</w:t>
      </w:r>
      <w:r w:rsidR="00831FE2" w:rsidRPr="009E0A1B">
        <w:rPr>
          <w:rFonts w:ascii="Arial" w:hAnsi="Arial" w:cs="Arial"/>
        </w:rPr>
        <w:t>s</w:t>
      </w:r>
      <w:r w:rsidRPr="009E0A1B">
        <w:rPr>
          <w:rFonts w:ascii="Arial" w:hAnsi="Arial" w:cs="Arial"/>
        </w:rPr>
        <w:t xml:space="preserve"> fl</w:t>
      </w:r>
      <w:r w:rsidR="00831FE2" w:rsidRPr="009E0A1B">
        <w:rPr>
          <w:rFonts w:ascii="Arial" w:hAnsi="Arial" w:cs="Arial"/>
        </w:rPr>
        <w:t>s</w:t>
      </w:r>
      <w:r w:rsidRPr="009E0A1B">
        <w:rPr>
          <w:rFonts w:ascii="Arial" w:hAnsi="Arial" w:cs="Arial"/>
        </w:rPr>
        <w:t>. 575, através do Despacho ATG/SEDUC nº 15.180/2016, datado de 30 de novembro, a Assessoria Técnica do Gabinete, sugere a</w:t>
      </w:r>
      <w:r w:rsidR="00831FE2" w:rsidRPr="009E0A1B">
        <w:rPr>
          <w:rFonts w:ascii="Arial" w:hAnsi="Arial" w:cs="Arial"/>
        </w:rPr>
        <w:t>o Secretário o envio dos autos à</w:t>
      </w:r>
      <w:r w:rsidRPr="009E0A1B">
        <w:rPr>
          <w:rFonts w:ascii="Arial" w:hAnsi="Arial" w:cs="Arial"/>
        </w:rPr>
        <w:t xml:space="preserve"> Controladoria Geral do Estado para análise e parecer técnico.</w:t>
      </w:r>
    </w:p>
    <w:p w:rsidR="00754550" w:rsidRPr="009E0A1B" w:rsidRDefault="00831FE2" w:rsidP="000E4060">
      <w:pPr>
        <w:pStyle w:val="PargrafodaLista"/>
        <w:numPr>
          <w:ilvl w:val="0"/>
          <w:numId w:val="2"/>
        </w:numPr>
        <w:spacing w:after="0" w:line="360" w:lineRule="auto"/>
        <w:rPr>
          <w:b/>
        </w:rPr>
      </w:pPr>
      <w:r w:rsidRPr="009E0A1B">
        <w:rPr>
          <w:rFonts w:ascii="Arial" w:hAnsi="Arial" w:cs="Arial"/>
        </w:rPr>
        <w:t xml:space="preserve"> Às</w:t>
      </w:r>
      <w:r w:rsidR="000E4060" w:rsidRPr="009E0A1B">
        <w:rPr>
          <w:rFonts w:ascii="Arial" w:hAnsi="Arial" w:cs="Arial"/>
        </w:rPr>
        <w:t xml:space="preserve"> fl</w:t>
      </w:r>
      <w:r w:rsidRPr="009E0A1B">
        <w:rPr>
          <w:rFonts w:ascii="Arial" w:hAnsi="Arial" w:cs="Arial"/>
        </w:rPr>
        <w:t>s</w:t>
      </w:r>
      <w:r w:rsidR="000E4060" w:rsidRPr="009E0A1B">
        <w:rPr>
          <w:rFonts w:ascii="Arial" w:hAnsi="Arial" w:cs="Arial"/>
        </w:rPr>
        <w:t>. 576, através do Despacho GAB/SEDUC nº 11.538/2016, datado de 30 de novembro, o Secretário</w:t>
      </w:r>
      <w:r w:rsidRPr="009E0A1B">
        <w:rPr>
          <w:rFonts w:ascii="Arial" w:hAnsi="Arial" w:cs="Arial"/>
        </w:rPr>
        <w:t xml:space="preserve"> diz que,</w:t>
      </w:r>
      <w:r w:rsidR="000E4060" w:rsidRPr="009E0A1B">
        <w:rPr>
          <w:rFonts w:ascii="Arial" w:hAnsi="Arial" w:cs="Arial"/>
        </w:rPr>
        <w:t xml:space="preserve"> </w:t>
      </w:r>
      <w:r w:rsidRPr="009E0A1B">
        <w:rPr>
          <w:rFonts w:ascii="Arial" w:hAnsi="Arial" w:cs="Arial"/>
        </w:rPr>
        <w:t>considerando</w:t>
      </w:r>
      <w:r w:rsidR="000E4060" w:rsidRPr="009E0A1B">
        <w:rPr>
          <w:rFonts w:ascii="Arial" w:hAnsi="Arial" w:cs="Arial"/>
        </w:rPr>
        <w:t xml:space="preserve"> orientação </w:t>
      </w:r>
      <w:r w:rsidRPr="009E0A1B">
        <w:rPr>
          <w:rFonts w:ascii="Arial" w:hAnsi="Arial" w:cs="Arial"/>
        </w:rPr>
        <w:t xml:space="preserve">da Assessoria Técnica, exarada às </w:t>
      </w:r>
      <w:r w:rsidRPr="009E0A1B">
        <w:rPr>
          <w:rFonts w:ascii="Arial" w:hAnsi="Arial" w:cs="Arial"/>
          <w:b/>
          <w:u w:val="single"/>
        </w:rPr>
        <w:t>fls.</w:t>
      </w:r>
      <w:r w:rsidR="000E4060" w:rsidRPr="009E0A1B">
        <w:rPr>
          <w:rFonts w:ascii="Arial" w:hAnsi="Arial" w:cs="Arial"/>
          <w:b/>
          <w:u w:val="single"/>
        </w:rPr>
        <w:t xml:space="preserve"> 219</w:t>
      </w:r>
      <w:r w:rsidR="000E4060" w:rsidRPr="009E0A1B">
        <w:rPr>
          <w:rFonts w:ascii="Arial" w:hAnsi="Arial" w:cs="Arial"/>
        </w:rPr>
        <w:t xml:space="preserve">, </w:t>
      </w:r>
      <w:r w:rsidRPr="009E0A1B">
        <w:rPr>
          <w:rFonts w:ascii="Arial" w:hAnsi="Arial" w:cs="Arial"/>
        </w:rPr>
        <w:t xml:space="preserve">determina que o processo seja </w:t>
      </w:r>
      <w:r w:rsidR="000E4060" w:rsidRPr="009E0A1B">
        <w:rPr>
          <w:rFonts w:ascii="Arial" w:hAnsi="Arial" w:cs="Arial"/>
        </w:rPr>
        <w:t>encaminha</w:t>
      </w:r>
      <w:r w:rsidRPr="009E0A1B">
        <w:rPr>
          <w:rFonts w:ascii="Arial" w:hAnsi="Arial" w:cs="Arial"/>
        </w:rPr>
        <w:t>do à</w:t>
      </w:r>
      <w:r w:rsidR="000E4060" w:rsidRPr="009E0A1B">
        <w:rPr>
          <w:rFonts w:ascii="Arial" w:hAnsi="Arial" w:cs="Arial"/>
        </w:rPr>
        <w:t xml:space="preserve"> CGE, para análise e parecer técnico.</w:t>
      </w:r>
      <w:bookmarkStart w:id="0" w:name="_GoBack"/>
      <w:bookmarkEnd w:id="0"/>
      <w:r w:rsidRPr="009E0A1B">
        <w:rPr>
          <w:rFonts w:ascii="Arial" w:hAnsi="Arial" w:cs="Arial"/>
        </w:rPr>
        <w:t xml:space="preserve"> </w:t>
      </w:r>
      <w:r w:rsidRPr="009E0A1B">
        <w:rPr>
          <w:rFonts w:ascii="Arial" w:hAnsi="Arial" w:cs="Arial"/>
          <w:b/>
        </w:rPr>
        <w:t xml:space="preserve">Vale </w:t>
      </w:r>
      <w:r w:rsidR="006E2BE8" w:rsidRPr="009E0A1B">
        <w:rPr>
          <w:rFonts w:ascii="Arial" w:hAnsi="Arial" w:cs="Arial"/>
          <w:b/>
        </w:rPr>
        <w:t xml:space="preserve">ressaltar </w:t>
      </w:r>
      <w:r w:rsidRPr="009E0A1B">
        <w:rPr>
          <w:rFonts w:ascii="Arial" w:hAnsi="Arial" w:cs="Arial"/>
          <w:b/>
        </w:rPr>
        <w:t xml:space="preserve">que, a orientação da </w:t>
      </w:r>
      <w:r w:rsidR="006E2BE8" w:rsidRPr="009E0A1B">
        <w:rPr>
          <w:rFonts w:ascii="Arial" w:hAnsi="Arial" w:cs="Arial"/>
          <w:b/>
        </w:rPr>
        <w:t>Assessoria Técnica foi dada às fls. 575 e não às fls. 219, como mencionado.</w:t>
      </w:r>
    </w:p>
    <w:p w:rsidR="00754550" w:rsidRDefault="0075455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E0A1B" w:rsidRDefault="009E0A1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E0A1B" w:rsidRPr="009E0A1B" w:rsidRDefault="009E0A1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54550" w:rsidRPr="009E0A1B" w:rsidRDefault="000E4060">
      <w:pPr>
        <w:tabs>
          <w:tab w:val="left" w:pos="720"/>
        </w:tabs>
        <w:spacing w:after="0" w:line="360" w:lineRule="auto"/>
        <w:jc w:val="both"/>
      </w:pPr>
      <w:r w:rsidRPr="009E0A1B">
        <w:rPr>
          <w:rFonts w:ascii="Arial" w:hAnsi="Arial" w:cs="Arial"/>
          <w:b/>
        </w:rPr>
        <w:tab/>
      </w:r>
      <w:r w:rsidRPr="009E0A1B">
        <w:rPr>
          <w:rFonts w:ascii="Arial" w:hAnsi="Arial" w:cs="Arial"/>
          <w:b/>
          <w:u w:val="single"/>
        </w:rPr>
        <w:t>3 –  DO EXAME DOS AUTOS</w:t>
      </w:r>
    </w:p>
    <w:p w:rsidR="00754550" w:rsidRPr="009E0A1B" w:rsidRDefault="000E4060">
      <w:pPr>
        <w:spacing w:after="0" w:line="360" w:lineRule="auto"/>
        <w:jc w:val="both"/>
      </w:pPr>
      <w:r w:rsidRPr="009E0A1B">
        <w:rPr>
          <w:rFonts w:ascii="Arial" w:hAnsi="Arial" w:cs="Arial"/>
          <w:b/>
        </w:rPr>
        <w:tab/>
      </w:r>
      <w:r w:rsidRPr="009E0A1B">
        <w:rPr>
          <w:rFonts w:ascii="Arial" w:hAnsi="Arial" w:cs="Arial"/>
          <w:b/>
          <w:u w:val="single"/>
        </w:rPr>
        <w:t>PRELIMINARMENTE,</w:t>
      </w:r>
      <w:r w:rsidRPr="009E0A1B">
        <w:rPr>
          <w:rFonts w:ascii="Arial" w:hAnsi="Arial" w:cs="Arial"/>
        </w:rPr>
        <w:t xml:space="preserve"> os autos foram encaminhados a esta </w:t>
      </w:r>
      <w:r w:rsidRPr="009E0A1B">
        <w:rPr>
          <w:rFonts w:ascii="Arial" w:hAnsi="Arial" w:cs="Arial"/>
          <w:b/>
        </w:rPr>
        <w:t xml:space="preserve">Controladoria Geral do Estado – CGE, </w:t>
      </w:r>
      <w:r w:rsidRPr="009E0A1B">
        <w:rPr>
          <w:rFonts w:ascii="Arial" w:hAnsi="Arial" w:cs="Arial"/>
        </w:rPr>
        <w:t xml:space="preserve">para realização da análise da prestação dos serviços executados, determinando, indubitavelmente, o </w:t>
      </w:r>
      <w:r w:rsidRPr="009E0A1B">
        <w:rPr>
          <w:rFonts w:ascii="Arial" w:hAnsi="Arial" w:cs="Arial"/>
          <w:i/>
        </w:rPr>
        <w:t>quantum debeatur</w:t>
      </w:r>
      <w:r w:rsidRPr="009E0A1B">
        <w:rPr>
          <w:rFonts w:ascii="Arial" w:hAnsi="Arial" w:cs="Arial"/>
        </w:rPr>
        <w:t>, levando em consideração os atestados nos autos, e após análise técnica da documentação contábil respectiva.</w:t>
      </w:r>
    </w:p>
    <w:p w:rsidR="00FF61C4" w:rsidRDefault="000E4060" w:rsidP="009E0A1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E0A1B">
        <w:rPr>
          <w:rFonts w:ascii="Arial" w:hAnsi="Arial" w:cs="Arial"/>
        </w:rPr>
        <w:t>Em relação à</w:t>
      </w:r>
      <w:r w:rsidR="0032494F" w:rsidRPr="009E0A1B">
        <w:rPr>
          <w:rFonts w:ascii="Arial" w:hAnsi="Arial" w:cs="Arial"/>
        </w:rPr>
        <w:t>s impropriedades</w:t>
      </w:r>
      <w:r w:rsidRPr="009E0A1B">
        <w:rPr>
          <w:rFonts w:ascii="Arial" w:hAnsi="Arial" w:cs="Arial"/>
        </w:rPr>
        <w:t xml:space="preserve"> verifica</w:t>
      </w:r>
      <w:r w:rsidR="0032494F" w:rsidRPr="009E0A1B">
        <w:rPr>
          <w:rFonts w:ascii="Arial" w:hAnsi="Arial" w:cs="Arial"/>
        </w:rPr>
        <w:t xml:space="preserve">das pela análise </w:t>
      </w:r>
      <w:r w:rsidRPr="009E0A1B">
        <w:rPr>
          <w:rFonts w:ascii="Arial" w:hAnsi="Arial" w:cs="Arial"/>
        </w:rPr>
        <w:t>dos</w:t>
      </w:r>
      <w:r w:rsidR="0032494F" w:rsidRPr="009E0A1B">
        <w:rPr>
          <w:rFonts w:ascii="Arial" w:hAnsi="Arial" w:cs="Arial"/>
        </w:rPr>
        <w:t xml:space="preserve"> autos</w:t>
      </w:r>
      <w:r w:rsidR="00FF61C4" w:rsidRPr="009E0A1B">
        <w:rPr>
          <w:rFonts w:ascii="Arial" w:hAnsi="Arial" w:cs="Arial"/>
          <w:b/>
        </w:rPr>
        <w:t>,</w:t>
      </w:r>
      <w:r w:rsidRPr="009E0A1B">
        <w:rPr>
          <w:rFonts w:ascii="Arial" w:hAnsi="Arial" w:cs="Arial"/>
        </w:rPr>
        <w:t xml:space="preserve"> </w:t>
      </w:r>
      <w:r w:rsidR="0032494F" w:rsidRPr="009E0A1B">
        <w:rPr>
          <w:rFonts w:ascii="Arial" w:hAnsi="Arial" w:cs="Arial"/>
        </w:rPr>
        <w:t>recomenda-se que sejam</w:t>
      </w:r>
      <w:r w:rsidRPr="009E0A1B">
        <w:rPr>
          <w:rFonts w:ascii="Arial" w:hAnsi="Arial" w:cs="Arial"/>
        </w:rPr>
        <w:t xml:space="preserve"> corrigidas e justificadas</w:t>
      </w:r>
      <w:r w:rsidR="00FF61C4" w:rsidRPr="009E0A1B">
        <w:rPr>
          <w:rFonts w:ascii="Arial" w:hAnsi="Arial" w:cs="Arial"/>
        </w:rPr>
        <w:t xml:space="preserve">, de acordo com </w:t>
      </w:r>
      <w:r w:rsidR="00205899" w:rsidRPr="009E0A1B">
        <w:rPr>
          <w:rFonts w:ascii="Arial" w:hAnsi="Arial" w:cs="Arial"/>
        </w:rPr>
        <w:t xml:space="preserve">a </w:t>
      </w:r>
      <w:r w:rsidR="00FF61C4" w:rsidRPr="009E0A1B">
        <w:rPr>
          <w:rFonts w:ascii="Arial" w:hAnsi="Arial" w:cs="Arial"/>
        </w:rPr>
        <w:t>discriminação adiante.</w:t>
      </w:r>
    </w:p>
    <w:p w:rsidR="009E0A1B" w:rsidRPr="009E0A1B" w:rsidRDefault="009E0A1B" w:rsidP="009E0A1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54550" w:rsidRPr="009E0A1B" w:rsidRDefault="000E4060">
      <w:pPr>
        <w:spacing w:after="0" w:line="360" w:lineRule="auto"/>
        <w:jc w:val="both"/>
      </w:pPr>
      <w:r w:rsidRPr="009E0A1B">
        <w:rPr>
          <w:rFonts w:ascii="Arial" w:hAnsi="Arial" w:cs="Arial"/>
        </w:rPr>
        <w:t xml:space="preserve">a) às fls. 364 a 400 do </w:t>
      </w:r>
      <w:r w:rsidRPr="009E0A1B">
        <w:rPr>
          <w:rFonts w:ascii="Arial" w:hAnsi="Arial" w:cs="Arial"/>
          <w:b/>
        </w:rPr>
        <w:t>Volume II,</w:t>
      </w:r>
      <w:r w:rsidRPr="009E0A1B">
        <w:rPr>
          <w:rFonts w:ascii="Arial" w:hAnsi="Arial" w:cs="Arial"/>
        </w:rPr>
        <w:t xml:space="preserve"> os relatórios de serviços técnicos anexados estão com as datas anteriores ao período</w:t>
      </w:r>
      <w:r w:rsidR="00C150C8" w:rsidRPr="009E0A1B">
        <w:rPr>
          <w:rFonts w:ascii="Arial" w:hAnsi="Arial" w:cs="Arial"/>
        </w:rPr>
        <w:t xml:space="preserve"> considerado, que é de</w:t>
      </w:r>
      <w:r w:rsidRPr="009E0A1B">
        <w:rPr>
          <w:rFonts w:ascii="Arial" w:hAnsi="Arial" w:cs="Arial"/>
        </w:rPr>
        <w:t xml:space="preserve"> </w:t>
      </w:r>
      <w:r w:rsidRPr="009E0A1B">
        <w:rPr>
          <w:rFonts w:ascii="Arial" w:hAnsi="Arial" w:cs="Arial"/>
          <w:bCs/>
        </w:rPr>
        <w:t>26/06/2016 a 25/10/2016.</w:t>
      </w:r>
    </w:p>
    <w:p w:rsidR="00754550" w:rsidRPr="009E0A1B" w:rsidRDefault="000E4060">
      <w:pPr>
        <w:spacing w:after="0" w:line="360" w:lineRule="auto"/>
        <w:jc w:val="both"/>
      </w:pPr>
      <w:r w:rsidRPr="009E0A1B">
        <w:rPr>
          <w:rFonts w:ascii="Arial" w:hAnsi="Arial" w:cs="Arial"/>
          <w:bCs/>
        </w:rPr>
        <w:t xml:space="preserve">b) </w:t>
      </w:r>
      <w:r w:rsidRPr="009E0A1B">
        <w:rPr>
          <w:rFonts w:ascii="Arial" w:hAnsi="Arial" w:cs="Arial"/>
        </w:rPr>
        <w:t xml:space="preserve">às fls. 401 a 492 do </w:t>
      </w:r>
      <w:r w:rsidRPr="009E0A1B">
        <w:rPr>
          <w:rFonts w:ascii="Arial" w:hAnsi="Arial" w:cs="Arial"/>
          <w:b/>
        </w:rPr>
        <w:t>Volume III</w:t>
      </w:r>
      <w:r w:rsidRPr="009E0A1B">
        <w:rPr>
          <w:rFonts w:ascii="Arial" w:hAnsi="Arial" w:cs="Arial"/>
        </w:rPr>
        <w:t xml:space="preserve">, </w:t>
      </w:r>
      <w:r w:rsidRPr="009E0A1B">
        <w:rPr>
          <w:rFonts w:ascii="Arial" w:hAnsi="Arial" w:cs="Arial"/>
          <w:bCs/>
        </w:rPr>
        <w:t>os relatórios de serviços técnicos anexados estão com as datas anteriores ao período</w:t>
      </w:r>
      <w:r w:rsidR="00C150C8" w:rsidRPr="009E0A1B">
        <w:rPr>
          <w:rFonts w:ascii="Arial" w:hAnsi="Arial" w:cs="Arial"/>
        </w:rPr>
        <w:t xml:space="preserve"> considerado, que é de</w:t>
      </w:r>
      <w:r w:rsidRPr="009E0A1B">
        <w:rPr>
          <w:rFonts w:ascii="Arial" w:hAnsi="Arial" w:cs="Arial"/>
          <w:bCs/>
        </w:rPr>
        <w:t xml:space="preserve"> 26/06/2016 a 25/10/2016.</w:t>
      </w:r>
    </w:p>
    <w:p w:rsidR="00754550" w:rsidRPr="009E0A1B" w:rsidRDefault="000E4060">
      <w:pPr>
        <w:spacing w:after="0" w:line="360" w:lineRule="auto"/>
        <w:jc w:val="both"/>
        <w:rPr>
          <w:rFonts w:ascii="Arial" w:hAnsi="Arial" w:cs="Arial"/>
          <w:bCs/>
        </w:rPr>
      </w:pPr>
      <w:r w:rsidRPr="009E0A1B">
        <w:rPr>
          <w:rFonts w:ascii="Arial" w:hAnsi="Arial" w:cs="Arial"/>
          <w:bCs/>
        </w:rPr>
        <w:t xml:space="preserve">c) nos documentos </w:t>
      </w:r>
      <w:r w:rsidR="00E879ED" w:rsidRPr="009E0A1B">
        <w:rPr>
          <w:rFonts w:ascii="Arial" w:hAnsi="Arial" w:cs="Arial"/>
          <w:bCs/>
        </w:rPr>
        <w:t xml:space="preserve">comprobatórios da despesa, </w:t>
      </w:r>
      <w:r w:rsidRPr="009E0A1B">
        <w:rPr>
          <w:rFonts w:ascii="Arial" w:hAnsi="Arial" w:cs="Arial"/>
          <w:bCs/>
        </w:rPr>
        <w:t xml:space="preserve">não </w:t>
      </w:r>
      <w:r w:rsidR="00E879ED" w:rsidRPr="009E0A1B">
        <w:rPr>
          <w:rFonts w:ascii="Arial" w:hAnsi="Arial" w:cs="Arial"/>
          <w:bCs/>
        </w:rPr>
        <w:t>consta</w:t>
      </w:r>
      <w:r w:rsidRPr="009E0A1B">
        <w:rPr>
          <w:rFonts w:ascii="Arial" w:hAnsi="Arial" w:cs="Arial"/>
          <w:bCs/>
        </w:rPr>
        <w:t xml:space="preserve"> o</w:t>
      </w:r>
      <w:r w:rsidR="00FF61C4" w:rsidRPr="009E0A1B">
        <w:rPr>
          <w:rFonts w:ascii="Arial" w:hAnsi="Arial" w:cs="Arial"/>
          <w:bCs/>
        </w:rPr>
        <w:t xml:space="preserve"> “</w:t>
      </w:r>
      <w:r w:rsidR="00FF61C4" w:rsidRPr="009E0A1B">
        <w:rPr>
          <w:rFonts w:ascii="Arial" w:hAnsi="Arial" w:cs="Arial"/>
          <w:b/>
          <w:bCs/>
        </w:rPr>
        <w:t xml:space="preserve">atesto da </w:t>
      </w:r>
      <w:r w:rsidR="00E879ED" w:rsidRPr="009E0A1B">
        <w:rPr>
          <w:rFonts w:ascii="Arial" w:hAnsi="Arial" w:cs="Arial"/>
          <w:b/>
          <w:bCs/>
        </w:rPr>
        <w:t xml:space="preserve">efetiva </w:t>
      </w:r>
      <w:r w:rsidR="00FF61C4" w:rsidRPr="009E0A1B">
        <w:rPr>
          <w:rFonts w:ascii="Arial" w:hAnsi="Arial" w:cs="Arial"/>
          <w:b/>
          <w:bCs/>
        </w:rPr>
        <w:t>execução</w:t>
      </w:r>
      <w:r w:rsidR="00FF61C4" w:rsidRPr="009E0A1B">
        <w:rPr>
          <w:rFonts w:ascii="Arial" w:hAnsi="Arial" w:cs="Arial"/>
          <w:bCs/>
        </w:rPr>
        <w:t xml:space="preserve"> </w:t>
      </w:r>
      <w:r w:rsidR="00FF61C4" w:rsidRPr="009E0A1B">
        <w:rPr>
          <w:rFonts w:ascii="Arial" w:hAnsi="Arial" w:cs="Arial"/>
          <w:b/>
          <w:bCs/>
        </w:rPr>
        <w:t>do serviço</w:t>
      </w:r>
      <w:r w:rsidR="00FF61C4" w:rsidRPr="009E0A1B">
        <w:rPr>
          <w:rFonts w:ascii="Arial" w:hAnsi="Arial" w:cs="Arial"/>
          <w:bCs/>
        </w:rPr>
        <w:t>”</w:t>
      </w:r>
      <w:r w:rsidR="000718EC" w:rsidRPr="009E0A1B">
        <w:rPr>
          <w:rFonts w:ascii="Arial" w:hAnsi="Arial" w:cs="Arial"/>
          <w:bCs/>
        </w:rPr>
        <w:t>, por quem de direito</w:t>
      </w:r>
      <w:r w:rsidRPr="009E0A1B">
        <w:rPr>
          <w:rFonts w:ascii="Arial" w:hAnsi="Arial" w:cs="Arial"/>
          <w:bCs/>
        </w:rPr>
        <w:t>.</w:t>
      </w:r>
    </w:p>
    <w:p w:rsidR="00754550" w:rsidRPr="009E0A1B" w:rsidRDefault="0075455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A5021B" w:rsidRPr="009E0A1B" w:rsidRDefault="000E4060">
      <w:pPr>
        <w:spacing w:after="0" w:line="360" w:lineRule="auto"/>
        <w:jc w:val="both"/>
        <w:rPr>
          <w:rFonts w:ascii="Arial" w:hAnsi="Arial" w:cs="Arial"/>
          <w:b/>
          <w:bCs/>
          <w:u w:val="single"/>
        </w:rPr>
      </w:pPr>
      <w:r w:rsidRPr="009E0A1B">
        <w:rPr>
          <w:rFonts w:ascii="Arial" w:hAnsi="Arial" w:cs="Arial"/>
          <w:b/>
          <w:bCs/>
        </w:rPr>
        <w:tab/>
      </w:r>
      <w:r w:rsidRPr="009E0A1B">
        <w:rPr>
          <w:rFonts w:ascii="Arial" w:hAnsi="Arial" w:cs="Arial"/>
          <w:b/>
          <w:bCs/>
          <w:u w:val="single"/>
        </w:rPr>
        <w:t xml:space="preserve">4 – CONCLUSÃO </w:t>
      </w:r>
    </w:p>
    <w:p w:rsidR="00754550" w:rsidRPr="009E0A1B" w:rsidRDefault="000E4060">
      <w:pPr>
        <w:spacing w:after="0" w:line="360" w:lineRule="auto"/>
        <w:jc w:val="both"/>
      </w:pPr>
      <w:r w:rsidRPr="009E0A1B">
        <w:rPr>
          <w:rFonts w:ascii="Arial" w:hAnsi="Arial" w:cs="Arial"/>
        </w:rPr>
        <w:tab/>
        <w:t>Diante das informações apresentadas, somos de opinião pela inconsistência dos dados, uma vez que os relatórios dos serviços executados apresentam datas anteriores ao período de 26/06/2016 à 25/</w:t>
      </w:r>
      <w:r w:rsidR="004B3421" w:rsidRPr="009E0A1B">
        <w:rPr>
          <w:rFonts w:ascii="Arial" w:hAnsi="Arial" w:cs="Arial"/>
        </w:rPr>
        <w:t>10/2016, como também</w:t>
      </w:r>
      <w:r w:rsidR="005B2FC7" w:rsidRPr="009E0A1B">
        <w:rPr>
          <w:rFonts w:ascii="Arial" w:hAnsi="Arial" w:cs="Arial"/>
        </w:rPr>
        <w:t>,</w:t>
      </w:r>
      <w:r w:rsidR="004B3421" w:rsidRPr="009E0A1B">
        <w:rPr>
          <w:rFonts w:ascii="Arial" w:hAnsi="Arial" w:cs="Arial"/>
        </w:rPr>
        <w:t xml:space="preserve"> não consta</w:t>
      </w:r>
      <w:r w:rsidR="005B2FC7" w:rsidRPr="009E0A1B">
        <w:rPr>
          <w:rFonts w:ascii="Arial" w:hAnsi="Arial" w:cs="Arial"/>
        </w:rPr>
        <w:t xml:space="preserve"> d</w:t>
      </w:r>
      <w:r w:rsidRPr="009E0A1B">
        <w:rPr>
          <w:rFonts w:ascii="Arial" w:hAnsi="Arial" w:cs="Arial"/>
        </w:rPr>
        <w:t>os mesmos</w:t>
      </w:r>
      <w:r w:rsidR="004B3421" w:rsidRPr="009E0A1B">
        <w:rPr>
          <w:rFonts w:ascii="Arial" w:hAnsi="Arial" w:cs="Arial"/>
        </w:rPr>
        <w:t>,</w:t>
      </w:r>
      <w:r w:rsidRPr="009E0A1B">
        <w:rPr>
          <w:rFonts w:ascii="Arial" w:hAnsi="Arial" w:cs="Arial"/>
        </w:rPr>
        <w:t xml:space="preserve"> o atesto da </w:t>
      </w:r>
      <w:r w:rsidR="004B3421" w:rsidRPr="009E0A1B">
        <w:rPr>
          <w:rFonts w:ascii="Arial" w:hAnsi="Arial" w:cs="Arial"/>
        </w:rPr>
        <w:t xml:space="preserve">efetiva </w:t>
      </w:r>
      <w:r w:rsidRPr="009E0A1B">
        <w:rPr>
          <w:rFonts w:ascii="Arial" w:hAnsi="Arial" w:cs="Arial"/>
        </w:rPr>
        <w:t>prestação dos serviços.</w:t>
      </w:r>
    </w:p>
    <w:p w:rsidR="00754550" w:rsidRPr="009E0A1B" w:rsidRDefault="000E4060">
      <w:pPr>
        <w:tabs>
          <w:tab w:val="left" w:pos="0"/>
          <w:tab w:val="left" w:pos="709"/>
          <w:tab w:val="left" w:pos="6201"/>
        </w:tabs>
        <w:spacing w:after="0" w:line="360" w:lineRule="auto"/>
        <w:jc w:val="both"/>
      </w:pPr>
      <w:r w:rsidRPr="009E0A1B">
        <w:rPr>
          <w:rFonts w:ascii="Arial" w:hAnsi="Arial" w:cs="Arial"/>
        </w:rPr>
        <w:tab/>
      </w:r>
      <w:r w:rsidR="005B2FC7" w:rsidRPr="009E0A1B">
        <w:rPr>
          <w:rFonts w:ascii="Arial" w:hAnsi="Arial" w:cs="Arial"/>
        </w:rPr>
        <w:t>Neste sentido, s</w:t>
      </w:r>
      <w:r w:rsidRPr="009E0A1B">
        <w:rPr>
          <w:rFonts w:ascii="Arial" w:hAnsi="Arial" w:cs="Arial"/>
        </w:rPr>
        <w:t xml:space="preserve">ugerimos o envio dos autos à </w:t>
      </w:r>
      <w:r w:rsidRPr="009E0A1B">
        <w:rPr>
          <w:rFonts w:ascii="Arial" w:hAnsi="Arial" w:cs="Arial"/>
          <w:b/>
        </w:rPr>
        <w:t xml:space="preserve">Secretaria de Estado da Educação - SEDUC, </w:t>
      </w:r>
      <w:r w:rsidRPr="009E0A1B">
        <w:rPr>
          <w:rFonts w:ascii="Arial" w:hAnsi="Arial" w:cs="Arial"/>
        </w:rPr>
        <w:t>para conhecimento e providências de sua competência.</w:t>
      </w:r>
    </w:p>
    <w:p w:rsidR="00754550" w:rsidRPr="009E0A1B" w:rsidRDefault="000E40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E0A1B">
        <w:rPr>
          <w:rFonts w:ascii="Arial" w:hAnsi="Arial" w:cs="Arial"/>
        </w:rPr>
        <w:t xml:space="preserve">Isto posto, evoluímos os autos ao Gabinete da </w:t>
      </w:r>
      <w:r w:rsidRPr="009E0A1B">
        <w:rPr>
          <w:rFonts w:ascii="Arial" w:hAnsi="Arial" w:cs="Arial"/>
          <w:b/>
        </w:rPr>
        <w:t>Controladora Geral do Estado</w:t>
      </w:r>
      <w:r w:rsidRPr="009E0A1B">
        <w:rPr>
          <w:rFonts w:ascii="Arial" w:hAnsi="Arial" w:cs="Arial"/>
        </w:rPr>
        <w:t xml:space="preserve"> para conhecimento da análise apresentada e providências que o caso requer.</w:t>
      </w:r>
    </w:p>
    <w:p w:rsidR="00754550" w:rsidRPr="009E0A1B" w:rsidRDefault="00754550">
      <w:pPr>
        <w:spacing w:after="0" w:line="360" w:lineRule="auto"/>
        <w:rPr>
          <w:rFonts w:ascii="Arial" w:hAnsi="Arial" w:cs="Arial"/>
        </w:rPr>
      </w:pPr>
    </w:p>
    <w:p w:rsidR="00754550" w:rsidRPr="009E0A1B" w:rsidRDefault="000E4060">
      <w:pPr>
        <w:spacing w:after="0" w:line="360" w:lineRule="auto"/>
        <w:jc w:val="center"/>
      </w:pPr>
      <w:r w:rsidRPr="009E0A1B">
        <w:rPr>
          <w:rFonts w:ascii="Arial" w:hAnsi="Arial" w:cs="Arial"/>
        </w:rPr>
        <w:t xml:space="preserve">Maceió – AL, </w:t>
      </w:r>
      <w:r w:rsidR="00ED12C7">
        <w:rPr>
          <w:rFonts w:ascii="Arial" w:hAnsi="Arial" w:cs="Arial"/>
        </w:rPr>
        <w:t>13</w:t>
      </w:r>
      <w:r w:rsidRPr="009E0A1B">
        <w:rPr>
          <w:rFonts w:ascii="Arial" w:hAnsi="Arial" w:cs="Arial"/>
        </w:rPr>
        <w:t xml:space="preserve"> de dezembro de 2016.</w:t>
      </w:r>
    </w:p>
    <w:p w:rsidR="00754550" w:rsidRPr="009E0A1B" w:rsidRDefault="00754550">
      <w:pPr>
        <w:spacing w:after="0" w:line="360" w:lineRule="auto"/>
        <w:rPr>
          <w:rFonts w:ascii="Arial" w:hAnsi="Arial" w:cs="Arial"/>
        </w:rPr>
      </w:pPr>
    </w:p>
    <w:p w:rsidR="00754550" w:rsidRPr="009E0A1B" w:rsidRDefault="000E4060">
      <w:pPr>
        <w:spacing w:after="0" w:line="360" w:lineRule="auto"/>
        <w:jc w:val="center"/>
      </w:pPr>
      <w:r w:rsidRPr="009E0A1B">
        <w:rPr>
          <w:rFonts w:ascii="Arial" w:hAnsi="Arial" w:cs="Arial"/>
        </w:rPr>
        <w:t>S</w:t>
      </w:r>
      <w:r w:rsidR="00D41815">
        <w:rPr>
          <w:rFonts w:ascii="Arial" w:hAnsi="Arial" w:cs="Arial"/>
        </w:rPr>
        <w:t>andrely Pimentel</w:t>
      </w:r>
    </w:p>
    <w:p w:rsidR="00754550" w:rsidRPr="009E0A1B" w:rsidRDefault="000E4060">
      <w:pPr>
        <w:spacing w:after="0" w:line="360" w:lineRule="auto"/>
        <w:jc w:val="center"/>
      </w:pPr>
      <w:r w:rsidRPr="009E0A1B">
        <w:rPr>
          <w:rFonts w:ascii="Arial" w:hAnsi="Arial" w:cs="Arial"/>
          <w:b/>
        </w:rPr>
        <w:t xml:space="preserve">Assessor de Controle Interno </w:t>
      </w:r>
    </w:p>
    <w:p w:rsidR="00754550" w:rsidRPr="009E0A1B" w:rsidRDefault="00D41815">
      <w:pPr>
        <w:spacing w:after="0" w:line="360" w:lineRule="auto"/>
        <w:jc w:val="center"/>
      </w:pPr>
      <w:r>
        <w:rPr>
          <w:rFonts w:ascii="Arial" w:hAnsi="Arial" w:cs="Arial"/>
          <w:b/>
        </w:rPr>
        <w:t>Matrícula nº 97-3</w:t>
      </w:r>
    </w:p>
    <w:p w:rsidR="00754550" w:rsidRPr="009E0A1B" w:rsidRDefault="00754550">
      <w:pPr>
        <w:spacing w:after="0" w:line="360" w:lineRule="auto"/>
        <w:jc w:val="center"/>
        <w:rPr>
          <w:rFonts w:ascii="Arial" w:hAnsi="Arial" w:cs="Arial"/>
          <w:b/>
        </w:rPr>
      </w:pPr>
    </w:p>
    <w:p w:rsidR="00754550" w:rsidRPr="009E0A1B" w:rsidRDefault="000E4060">
      <w:pPr>
        <w:spacing w:after="0" w:line="360" w:lineRule="auto"/>
        <w:rPr>
          <w:rFonts w:ascii="Arial" w:hAnsi="Arial" w:cs="Arial"/>
          <w:b/>
        </w:rPr>
      </w:pPr>
      <w:r w:rsidRPr="009E0A1B">
        <w:rPr>
          <w:rFonts w:ascii="Arial" w:hAnsi="Arial" w:cs="Arial"/>
          <w:b/>
        </w:rPr>
        <w:t>De acordo.</w:t>
      </w:r>
    </w:p>
    <w:p w:rsidR="00754550" w:rsidRPr="009E0A1B" w:rsidRDefault="000E406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E0A1B">
        <w:rPr>
          <w:rFonts w:ascii="Arial" w:hAnsi="Arial" w:cs="Arial"/>
        </w:rPr>
        <w:t>Fabrícia Costa Soares</w:t>
      </w:r>
    </w:p>
    <w:p w:rsidR="00754550" w:rsidRPr="009E0A1B" w:rsidRDefault="000E406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9E0A1B">
        <w:rPr>
          <w:rFonts w:ascii="Arial" w:hAnsi="Arial" w:cs="Arial"/>
          <w:b/>
        </w:rPr>
        <w:t>Superintendente de Controle Financeiro – SUCOF</w:t>
      </w:r>
    </w:p>
    <w:p w:rsidR="00754550" w:rsidRPr="009E0A1B" w:rsidRDefault="000E4060" w:rsidP="009E0A1B">
      <w:pPr>
        <w:tabs>
          <w:tab w:val="left" w:pos="0"/>
        </w:tabs>
        <w:spacing w:after="0" w:line="360" w:lineRule="auto"/>
        <w:jc w:val="center"/>
      </w:pPr>
      <w:r w:rsidRPr="009E0A1B">
        <w:rPr>
          <w:rFonts w:ascii="Arial" w:hAnsi="Arial" w:cs="Arial"/>
          <w:b/>
        </w:rPr>
        <w:t>Matrícula nº 131-7</w:t>
      </w:r>
    </w:p>
    <w:sectPr w:rsidR="00754550" w:rsidRPr="009E0A1B" w:rsidSect="005A7B55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D72" w:rsidRDefault="007D3D72">
      <w:pPr>
        <w:spacing w:after="0" w:line="240" w:lineRule="auto"/>
      </w:pPr>
      <w:r>
        <w:separator/>
      </w:r>
    </w:p>
  </w:endnote>
  <w:endnote w:type="continuationSeparator" w:id="1">
    <w:p w:rsidR="007D3D72" w:rsidRDefault="007D3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7382189"/>
      <w:docPartObj>
        <w:docPartGallery w:val="Page Numbers (Bottom of Page)"/>
        <w:docPartUnique/>
      </w:docPartObj>
    </w:sdtPr>
    <w:sdtContent>
      <w:p w:rsidR="00754550" w:rsidRDefault="00BF6156">
        <w:pPr>
          <w:pStyle w:val="Rodap"/>
          <w:jc w:val="center"/>
        </w:pPr>
        <w:r>
          <w:fldChar w:fldCharType="begin"/>
        </w:r>
        <w:r w:rsidR="000E4060">
          <w:instrText>PAGE</w:instrText>
        </w:r>
        <w:r>
          <w:fldChar w:fldCharType="separate"/>
        </w:r>
        <w:r w:rsidR="00D41815">
          <w:rPr>
            <w:noProof/>
          </w:rPr>
          <w:t>3</w:t>
        </w:r>
        <w:r>
          <w:fldChar w:fldCharType="end"/>
        </w:r>
      </w:p>
    </w:sdtContent>
  </w:sdt>
  <w:p w:rsidR="00754550" w:rsidRDefault="0075455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D72" w:rsidRDefault="007D3D72">
      <w:pPr>
        <w:spacing w:after="0" w:line="240" w:lineRule="auto"/>
      </w:pPr>
      <w:r>
        <w:separator/>
      </w:r>
    </w:p>
  </w:footnote>
  <w:footnote w:type="continuationSeparator" w:id="1">
    <w:p w:rsidR="007D3D72" w:rsidRDefault="007D3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550" w:rsidRDefault="00BF6156">
    <w:pPr>
      <w:pStyle w:val="Cabealho"/>
    </w:pPr>
    <w:r>
      <w:rPr>
        <w:noProof/>
        <w:lang w:eastAsia="pt-BR"/>
      </w:rPr>
      <w:pict>
        <v:rect id="Text Box 2" o:spid="_x0000_s2050" style="position:absolute;margin-left:104.7pt;margin-top:-7.65pt;width:329.95pt;height:40.45pt;z-index:251657728" filled="f" stroked="f" strokecolor="#3465a4">
          <v:fill o:detectmouseclick="t"/>
          <v:stroke joinstyle="round"/>
          <v:textbox>
            <w:txbxContent>
              <w:p w:rsidR="005A7B55" w:rsidRDefault="004007D4">
                <w:pPr>
                  <w:pStyle w:val="Contedodoquadro"/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  <w10:wrap type="square"/>
        </v:rect>
      </w:pict>
    </w:r>
    <w:r>
      <w:rPr>
        <w:noProof/>
        <w:lang w:eastAsia="pt-BR"/>
      </w:rPr>
      <w:pict>
        <v:rect id="Text Box 3" o:spid="_x0000_s2049" style="position:absolute;margin-left:461.7pt;margin-top:22.35pt;width:32.95pt;height:26.2pt;z-index:251658752" filled="f" stroked="f" strokecolor="#3465a4">
          <v:fill o:detectmouseclick="t"/>
          <v:stroke joinstyle="round"/>
          <v:textbox>
            <w:txbxContent>
              <w:p w:rsidR="005A7B55" w:rsidRDefault="004007D4">
                <w:pPr>
                  <w:pStyle w:val="Contedodoquadro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  <w10:wrap type="square"/>
        </v:rect>
      </w:pict>
    </w:r>
    <w:r w:rsidR="000E4060"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978AC"/>
    <w:multiLevelType w:val="multilevel"/>
    <w:tmpl w:val="7F0C5C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29E3CBA"/>
    <w:multiLevelType w:val="multilevel"/>
    <w:tmpl w:val="F8F0AE38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6E06397D"/>
    <w:multiLevelType w:val="multilevel"/>
    <w:tmpl w:val="5420B7E0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54550"/>
    <w:rsid w:val="000718EC"/>
    <w:rsid w:val="000E4060"/>
    <w:rsid w:val="001D2491"/>
    <w:rsid w:val="00205899"/>
    <w:rsid w:val="002711D5"/>
    <w:rsid w:val="002C141F"/>
    <w:rsid w:val="002D2944"/>
    <w:rsid w:val="0032494F"/>
    <w:rsid w:val="003C4213"/>
    <w:rsid w:val="003E3B94"/>
    <w:rsid w:val="004007D4"/>
    <w:rsid w:val="00412939"/>
    <w:rsid w:val="00413392"/>
    <w:rsid w:val="00455FAC"/>
    <w:rsid w:val="004B3421"/>
    <w:rsid w:val="004D3CF0"/>
    <w:rsid w:val="005A7B55"/>
    <w:rsid w:val="005B2FC7"/>
    <w:rsid w:val="005E1BA8"/>
    <w:rsid w:val="006175AC"/>
    <w:rsid w:val="006E0BF2"/>
    <w:rsid w:val="006E2BE8"/>
    <w:rsid w:val="00701212"/>
    <w:rsid w:val="00754550"/>
    <w:rsid w:val="007D3D72"/>
    <w:rsid w:val="00831FE2"/>
    <w:rsid w:val="0085295D"/>
    <w:rsid w:val="008E2C46"/>
    <w:rsid w:val="008E7EBD"/>
    <w:rsid w:val="008F2803"/>
    <w:rsid w:val="008F6A79"/>
    <w:rsid w:val="009C37B6"/>
    <w:rsid w:val="009E0A1B"/>
    <w:rsid w:val="00A27BFB"/>
    <w:rsid w:val="00A5021B"/>
    <w:rsid w:val="00AD7AB2"/>
    <w:rsid w:val="00B37B20"/>
    <w:rsid w:val="00B47E0F"/>
    <w:rsid w:val="00BF6156"/>
    <w:rsid w:val="00C04CD1"/>
    <w:rsid w:val="00C150C8"/>
    <w:rsid w:val="00CB797A"/>
    <w:rsid w:val="00D40683"/>
    <w:rsid w:val="00D41815"/>
    <w:rsid w:val="00D9308E"/>
    <w:rsid w:val="00DC0A2C"/>
    <w:rsid w:val="00E879ED"/>
    <w:rsid w:val="00ED12C7"/>
    <w:rsid w:val="00EE2F63"/>
    <w:rsid w:val="00F51840"/>
    <w:rsid w:val="00FE5D07"/>
    <w:rsid w:val="00FF6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4"/>
    <w:pPr>
      <w:spacing w:after="200"/>
    </w:pPr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B1CA4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qFormat/>
    <w:rsid w:val="008B1CA4"/>
  </w:style>
  <w:style w:type="character" w:customStyle="1" w:styleId="RodapChar">
    <w:name w:val="Rodapé Char"/>
    <w:basedOn w:val="Fontepargpadro"/>
    <w:link w:val="Rodap"/>
    <w:uiPriority w:val="99"/>
    <w:qFormat/>
    <w:rsid w:val="00C703F7"/>
    <w:rPr>
      <w:rFonts w:ascii="Calibri" w:eastAsia="Calibri" w:hAnsi="Calibri" w:cs="Times New Roman"/>
    </w:rPr>
  </w:style>
  <w:style w:type="character" w:customStyle="1" w:styleId="LinkdaInternet">
    <w:name w:val="Link da Internet"/>
    <w:basedOn w:val="Fontepargpadro"/>
    <w:uiPriority w:val="99"/>
    <w:unhideWhenUsed/>
    <w:rsid w:val="00395C12"/>
    <w:rPr>
      <w:color w:val="0000FF" w:themeColor="hyperlink"/>
      <w:u w:val="single"/>
    </w:rPr>
  </w:style>
  <w:style w:type="paragraph" w:styleId="Ttulo">
    <w:name w:val="Title"/>
    <w:basedOn w:val="Normal"/>
    <w:next w:val="Corpodetexto"/>
    <w:qFormat/>
    <w:rsid w:val="005A7B5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5A7B55"/>
    <w:pPr>
      <w:spacing w:after="140" w:line="288" w:lineRule="auto"/>
    </w:pPr>
  </w:style>
  <w:style w:type="paragraph" w:styleId="Lista">
    <w:name w:val="List"/>
    <w:basedOn w:val="Corpodetexto"/>
    <w:rsid w:val="005A7B55"/>
    <w:rPr>
      <w:rFonts w:cs="Mangal"/>
    </w:rPr>
  </w:style>
  <w:style w:type="paragraph" w:styleId="Legenda">
    <w:name w:val="caption"/>
    <w:basedOn w:val="Normal"/>
    <w:qFormat/>
    <w:rsid w:val="005A7B5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A7B55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unhideWhenUsed/>
    <w:rsid w:val="008B1CA4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qFormat/>
    <w:rsid w:val="008B1CA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B1CA4"/>
    <w:pPr>
      <w:suppressAutoHyphens/>
      <w:spacing w:line="240" w:lineRule="auto"/>
    </w:pPr>
    <w:rPr>
      <w:rFonts w:cs="Calibri"/>
      <w:lang w:eastAsia="ar-SA"/>
    </w:rPr>
  </w:style>
  <w:style w:type="paragraph" w:styleId="NormalWeb">
    <w:name w:val="Normal (Web)"/>
    <w:basedOn w:val="Normal"/>
    <w:uiPriority w:val="99"/>
    <w:unhideWhenUsed/>
    <w:qFormat/>
    <w:rsid w:val="008B1CA4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703F7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oquadro">
    <w:name w:val="Conteúdo do quadro"/>
    <w:basedOn w:val="Normal"/>
    <w:qFormat/>
    <w:rsid w:val="005A7B55"/>
  </w:style>
  <w:style w:type="table" w:styleId="Tabelacomgrade">
    <w:name w:val="Table Grid"/>
    <w:basedOn w:val="Tabelanormal"/>
    <w:uiPriority w:val="59"/>
    <w:rsid w:val="0076563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D020D-C9A9-4DF6-B400-CE5DCA04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960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28</cp:revision>
  <cp:lastPrinted>2016-12-14T16:54:00Z</cp:lastPrinted>
  <dcterms:created xsi:type="dcterms:W3CDTF">2016-12-14T13:32:00Z</dcterms:created>
  <dcterms:modified xsi:type="dcterms:W3CDTF">2016-12-14T16:54:00Z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