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>1500-663/2018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09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>7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>SECRETARIA DE ESTADO DA FAZENDA - SEFAZ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>Pedido de informações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1C15EB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 w:rsidR="001C15EB">
        <w:rPr>
          <w:rFonts w:ascii="Bookman Old Style" w:hAnsi="Bookman Old Style" w:cs="Arial"/>
          <w:b/>
          <w:sz w:val="22"/>
          <w:szCs w:val="22"/>
          <w:lang w:val="pt-BR"/>
        </w:rPr>
        <w:t>1500-663/2018,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em 0</w:t>
      </w:r>
      <w:r>
        <w:rPr>
          <w:rFonts w:ascii="Bookman Old Style" w:hAnsi="Bookman Old Style" w:cs="Arial"/>
          <w:sz w:val="22"/>
          <w:szCs w:val="22"/>
          <w:lang w:val="pt-BR"/>
        </w:rPr>
        <w:t>1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>
        <w:rPr>
          <w:rFonts w:ascii="Bookman Old Style" w:hAnsi="Bookman Old Style" w:cs="Arial"/>
          <w:sz w:val="22"/>
          <w:szCs w:val="22"/>
          <w:lang w:val="pt-BR"/>
        </w:rPr>
        <w:t>um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volume com </w:t>
      </w:r>
      <w:r>
        <w:rPr>
          <w:rFonts w:ascii="Bookman Old Style" w:hAnsi="Bookman Old Style" w:cs="Arial"/>
          <w:sz w:val="22"/>
          <w:szCs w:val="22"/>
          <w:lang w:val="pt-BR"/>
        </w:rPr>
        <w:t>1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>6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>dezesseis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fls., referente 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 xml:space="preserve">ao MEMO GSEF nº 06/2018, datado de 03.01.2018, de lavra do </w:t>
      </w:r>
      <w:proofErr w:type="gramStart"/>
      <w:r w:rsidR="001C15EB">
        <w:rPr>
          <w:rFonts w:ascii="Bookman Old Style" w:hAnsi="Bookman Old Style" w:cs="Arial"/>
          <w:sz w:val="22"/>
          <w:szCs w:val="22"/>
          <w:lang w:val="pt-BR"/>
        </w:rPr>
        <w:t>Sr.</w:t>
      </w:r>
      <w:proofErr w:type="gramEnd"/>
      <w:r w:rsidR="001C15EB">
        <w:rPr>
          <w:rFonts w:ascii="Bookman Old Style" w:hAnsi="Bookman Old Style" w:cs="Arial"/>
          <w:sz w:val="22"/>
          <w:szCs w:val="22"/>
          <w:lang w:val="pt-BR"/>
        </w:rPr>
        <w:t xml:space="preserve"> Secretario de Estado da Fazendo, onde solicita informações para o balanço Geral do estado de 2017 – Cumprimento da lei nº 4.320/64, ao Superintendente da Receita Estadual – SRE, </w:t>
      </w:r>
      <w:r w:rsidR="0071726E">
        <w:rPr>
          <w:rFonts w:ascii="Bookman Old Style" w:hAnsi="Bookman Old Style" w:cs="Arial"/>
          <w:sz w:val="22"/>
          <w:szCs w:val="22"/>
          <w:lang w:val="pt-BR"/>
        </w:rPr>
        <w:t xml:space="preserve">as folhas 02, </w:t>
      </w:r>
      <w:r w:rsidR="001C15EB">
        <w:rPr>
          <w:rFonts w:ascii="Bookman Old Style" w:hAnsi="Bookman Old Style" w:cs="Arial"/>
          <w:sz w:val="22"/>
          <w:szCs w:val="22"/>
          <w:lang w:val="pt-BR"/>
        </w:rPr>
        <w:t>como segue:</w:t>
      </w:r>
    </w:p>
    <w:p w:rsidR="001C15EB" w:rsidRPr="0071726E" w:rsidRDefault="001C15EB" w:rsidP="0071726E">
      <w:pPr>
        <w:spacing w:line="360" w:lineRule="auto"/>
        <w:ind w:left="2268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71726E">
        <w:rPr>
          <w:rFonts w:ascii="Bookman Old Style" w:hAnsi="Bookman Old Style" w:cs="Arial"/>
          <w:sz w:val="20"/>
          <w:szCs w:val="20"/>
          <w:lang w:val="pt-BR"/>
        </w:rPr>
        <w:t xml:space="preserve">... </w:t>
      </w:r>
      <w:proofErr w:type="gramStart"/>
      <w:r w:rsidRPr="0071726E">
        <w:rPr>
          <w:rFonts w:ascii="Bookman Old Style" w:hAnsi="Bookman Old Style" w:cs="Arial"/>
          <w:sz w:val="20"/>
          <w:szCs w:val="20"/>
          <w:lang w:val="pt-BR"/>
        </w:rPr>
        <w:t>vimos</w:t>
      </w:r>
      <w:proofErr w:type="gramEnd"/>
      <w:r w:rsidRPr="0071726E">
        <w:rPr>
          <w:rFonts w:ascii="Bookman Old Style" w:hAnsi="Bookman Old Style" w:cs="Arial"/>
          <w:sz w:val="20"/>
          <w:szCs w:val="20"/>
          <w:lang w:val="pt-BR"/>
        </w:rPr>
        <w:t xml:space="preserve"> por intermédio do presente solicitar o relatório dos valores de inscrições e baixas da Dívida Ativa do Estado de Alagoas, bem como o </w:t>
      </w:r>
      <w:r w:rsidRPr="0071726E">
        <w:rPr>
          <w:rFonts w:ascii="Bookman Old Style" w:hAnsi="Bookman Old Style" w:cs="Arial"/>
          <w:b/>
          <w:sz w:val="20"/>
          <w:szCs w:val="20"/>
          <w:lang w:val="pt-BR"/>
        </w:rPr>
        <w:t xml:space="preserve">valor do estoque da dívida ativa </w:t>
      </w:r>
      <w:r w:rsidR="0071726E" w:rsidRPr="0071726E">
        <w:rPr>
          <w:rFonts w:ascii="Bookman Old Style" w:hAnsi="Bookman Old Style" w:cs="Arial"/>
          <w:sz w:val="20"/>
          <w:szCs w:val="20"/>
          <w:lang w:val="pt-BR"/>
        </w:rPr>
        <w:t xml:space="preserve">em 31 de dezembro de 2017, </w:t>
      </w:r>
      <w:r w:rsidR="0071726E" w:rsidRPr="0071726E">
        <w:rPr>
          <w:rFonts w:ascii="Bookman Old Style" w:hAnsi="Bookman Old Style" w:cs="Arial"/>
          <w:sz w:val="20"/>
          <w:szCs w:val="20"/>
          <w:u w:val="single"/>
          <w:lang w:val="pt-BR"/>
        </w:rPr>
        <w:t xml:space="preserve">discriminado por valores iniciais, valores recebidos (receita de dívida ativa), outras baixas que porventura tenham acontecido, correção monetária e saldo final, </w:t>
      </w:r>
      <w:r w:rsidR="0071726E" w:rsidRPr="0071726E">
        <w:rPr>
          <w:rFonts w:ascii="Bookman Old Style" w:hAnsi="Bookman Old Style" w:cs="Arial"/>
          <w:sz w:val="20"/>
          <w:szCs w:val="20"/>
          <w:lang w:val="pt-BR"/>
        </w:rPr>
        <w:t xml:space="preserve">e ainda a </w:t>
      </w:r>
      <w:r w:rsidR="0071726E" w:rsidRPr="0071726E">
        <w:rPr>
          <w:rFonts w:ascii="Bookman Old Style" w:hAnsi="Bookman Old Style" w:cs="Arial"/>
          <w:b/>
          <w:sz w:val="20"/>
          <w:szCs w:val="20"/>
          <w:lang w:val="pt-BR"/>
        </w:rPr>
        <w:t xml:space="preserve">provisão para créditos inscritos em Dívida Ativa de recebimento duvidoso, </w:t>
      </w:r>
      <w:r w:rsidR="0071726E" w:rsidRPr="0071726E">
        <w:rPr>
          <w:rFonts w:ascii="Bookman Old Style" w:hAnsi="Bookman Old Style" w:cs="Arial"/>
          <w:sz w:val="20"/>
          <w:szCs w:val="20"/>
          <w:lang w:val="pt-BR"/>
        </w:rPr>
        <w:t>para que a Gerência Especial de Contabilidade desta Secretaria possa realizar os registros contábeis necessários.</w:t>
      </w:r>
    </w:p>
    <w:p w:rsidR="00657B7A" w:rsidRPr="00657B7A" w:rsidRDefault="009F48A4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Em análise aos autos, constata-se que foram encaminhados a Superintendência da Receita Estadual e a Procuradoria Geral do Estado – PGE, para subsidiar com as informações requeridas</w:t>
      </w:r>
      <w:r w:rsidR="002D6448">
        <w:rPr>
          <w:rFonts w:ascii="Bookman Old Style" w:hAnsi="Bookman Old Style" w:cs="Arial"/>
          <w:sz w:val="22"/>
          <w:szCs w:val="22"/>
          <w:lang w:val="pt-BR"/>
        </w:rPr>
        <w:t>. V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isualizamos </w:t>
      </w:r>
      <w:r w:rsidR="00EC6CE2">
        <w:rPr>
          <w:rFonts w:ascii="Bookman Old Style" w:hAnsi="Bookman Old Style" w:cs="Arial"/>
          <w:sz w:val="22"/>
          <w:szCs w:val="22"/>
          <w:lang w:val="pt-BR"/>
        </w:rPr>
        <w:t>as folhas 14/</w:t>
      </w:r>
      <w:proofErr w:type="gramStart"/>
      <w:r w:rsidR="00EC6CE2">
        <w:rPr>
          <w:rFonts w:ascii="Bookman Old Style" w:hAnsi="Bookman Old Style" w:cs="Arial"/>
          <w:sz w:val="22"/>
          <w:szCs w:val="22"/>
          <w:lang w:val="pt-BR"/>
        </w:rPr>
        <w:t>14v</w:t>
      </w:r>
      <w:proofErr w:type="gramEnd"/>
      <w:r w:rsidR="00EC6CE2">
        <w:rPr>
          <w:rFonts w:ascii="Bookman Old Style" w:hAnsi="Bookman Old Style" w:cs="Arial"/>
          <w:sz w:val="22"/>
          <w:szCs w:val="22"/>
          <w:lang w:val="pt-BR"/>
        </w:rPr>
        <w:t>,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EC6CE2">
        <w:rPr>
          <w:rFonts w:ascii="Bookman Old Style" w:hAnsi="Bookman Old Style" w:cs="Arial"/>
          <w:sz w:val="22"/>
          <w:szCs w:val="22"/>
          <w:lang w:val="pt-BR"/>
        </w:rPr>
        <w:t xml:space="preserve">o DESPACHO PGE/PFE-CD nº 0399/2018, datado de 03.03.2018, de lavra da Procuradora de Estado – Coordenadora da Procuradoria da Fazenda Estadual, onde apresenta, em síntese apertada, apenas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os dados </w:t>
      </w:r>
      <w:r w:rsidR="00EC6CE2">
        <w:rPr>
          <w:rFonts w:ascii="Bookman Old Style" w:hAnsi="Bookman Old Style" w:cs="Arial"/>
          <w:sz w:val="22"/>
          <w:szCs w:val="22"/>
          <w:lang w:val="pt-BR"/>
        </w:rPr>
        <w:t>emitidos pela PGE de forma representativa da arrecadação do Estado dos créditos inscritos em Dívida Ativa, de competência daquele órgão, de natureza tributária e não tributária, cobrados judicial e extrajudicialmente, frutos de parcelamentos ou da liquidação total do débito, tudo conforme fornecido pela SEFAZ.</w:t>
      </w:r>
    </w:p>
    <w:p w:rsidR="002D6448" w:rsidRDefault="002D6448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2D6448" w:rsidRDefault="002D6448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2D6448" w:rsidRDefault="002D6448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EC6CE2" w:rsidRDefault="00EC6CE2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Os autos foram encaminhados a este órgão de controle, pela chefia de gabinete da SEFAZ, para ciência do despacho PGE/PFE-CD nº 0399/2018 e providência pertinentes.</w:t>
      </w:r>
    </w:p>
    <w:p w:rsidR="00FA598C" w:rsidRPr="00F12D34" w:rsidRDefault="002C54C1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Esta Superintendência tem a informar que o Balanço Geral do Estado foi objeto de análise por parte desta superintendência, </w:t>
      </w:r>
      <w:r w:rsidR="00776765">
        <w:rPr>
          <w:rFonts w:ascii="Bookman Old Style" w:hAnsi="Bookman Old Style" w:cs="Arial"/>
          <w:sz w:val="22"/>
          <w:szCs w:val="22"/>
          <w:lang w:val="pt-BR"/>
        </w:rPr>
        <w:t xml:space="preserve">através do Processo nº 1104-293/2018,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tendo sido emitido o </w:t>
      </w:r>
      <w:r w:rsidR="00776765">
        <w:rPr>
          <w:rFonts w:ascii="Bookman Old Style" w:hAnsi="Bookman Old Style" w:cs="Arial"/>
          <w:sz w:val="22"/>
          <w:szCs w:val="22"/>
          <w:lang w:val="pt-BR"/>
        </w:rPr>
        <w:t>Relatório de Auditoria Especial nº 001/2018, datado de 13.04.2018, o qual foi encaminhado a Secretaria de Estado da Fazenda – SEFAZ, para conhecimento e providências.</w:t>
      </w:r>
    </w:p>
    <w:p w:rsidR="00FA598C" w:rsidRDefault="00776765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Atendida a determinação </w:t>
      </w:r>
      <w:r w:rsidR="00017680">
        <w:rPr>
          <w:rFonts w:ascii="Bookman Old Style" w:hAnsi="Bookman Old Style" w:cs="Arial"/>
          <w:sz w:val="22"/>
          <w:szCs w:val="22"/>
          <w:lang w:val="pt-BR"/>
        </w:rPr>
        <w:t>encaminhem-se os autos ao gabinete da Controladora Geral, para conhecimento e decisão superior.</w:t>
      </w:r>
    </w:p>
    <w:p w:rsidR="00657B7A" w:rsidRPr="00F12D34" w:rsidRDefault="00657B7A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>1</w:t>
      </w:r>
      <w:r w:rsidR="00D76D3E">
        <w:rPr>
          <w:rFonts w:ascii="Bookman Old Style" w:hAnsi="Bookman Old Style" w:cs="Arial"/>
          <w:sz w:val="22"/>
          <w:szCs w:val="22"/>
          <w:lang w:val="pt-BR"/>
        </w:rPr>
        <w:t>8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>
        <w:rPr>
          <w:rFonts w:ascii="Bookman Old Style" w:hAnsi="Bookman Old Style" w:cs="Arial"/>
          <w:sz w:val="22"/>
          <w:szCs w:val="22"/>
          <w:lang w:val="pt-BR"/>
        </w:rPr>
        <w:t>junho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FA598C" w:rsidRPr="00F12D34" w:rsidRDefault="00FA598C" w:rsidP="00FA598C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714D4" w:rsidRDefault="00C15772" w:rsidP="00FA598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680" w:rsidRDefault="00017680" w:rsidP="0016418A">
      <w:r>
        <w:separator/>
      </w:r>
    </w:p>
  </w:endnote>
  <w:endnote w:type="continuationSeparator" w:id="0">
    <w:p w:rsidR="00017680" w:rsidRDefault="00017680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680" w:rsidRDefault="00017680" w:rsidP="0016418A">
      <w:r>
        <w:separator/>
      </w:r>
    </w:p>
  </w:footnote>
  <w:footnote w:type="continuationSeparator" w:id="0">
    <w:p w:rsidR="00017680" w:rsidRDefault="00017680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80" w:rsidRDefault="0001768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17680" w:rsidRDefault="00017680">
    <w:pPr>
      <w:pStyle w:val="Cabealho"/>
    </w:pPr>
  </w:p>
  <w:p w:rsidR="00017680" w:rsidRDefault="00017680">
    <w:pPr>
      <w:pStyle w:val="Cabealho"/>
    </w:pPr>
  </w:p>
  <w:p w:rsidR="00017680" w:rsidRPr="0016418A" w:rsidRDefault="00017680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680" w:rsidRPr="0016418A" w:rsidRDefault="00017680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680" w:rsidRDefault="00017680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017680" w:rsidRPr="0016418A" w:rsidRDefault="00017680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017680" w:rsidRDefault="00017680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17680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15EB"/>
    <w:rsid w:val="001C2FCC"/>
    <w:rsid w:val="001D26BA"/>
    <w:rsid w:val="001D2BAB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54C1"/>
    <w:rsid w:val="002C7454"/>
    <w:rsid w:val="002D467C"/>
    <w:rsid w:val="002D5463"/>
    <w:rsid w:val="002D5BA8"/>
    <w:rsid w:val="002D644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379FD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57B7A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26E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6765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48A4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16CD2"/>
    <w:rsid w:val="00C27EE9"/>
    <w:rsid w:val="00C31096"/>
    <w:rsid w:val="00C33111"/>
    <w:rsid w:val="00C361E3"/>
    <w:rsid w:val="00C362D0"/>
    <w:rsid w:val="00C436A4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6D3E"/>
    <w:rsid w:val="00D85369"/>
    <w:rsid w:val="00D85A6B"/>
    <w:rsid w:val="00D86AB7"/>
    <w:rsid w:val="00D92D79"/>
    <w:rsid w:val="00D93E92"/>
    <w:rsid w:val="00DB2039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CE2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598C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Ronaldo</dc:creator>
  <cp:lastModifiedBy>adriana.araujo</cp:lastModifiedBy>
  <cp:revision>9</cp:revision>
  <cp:lastPrinted>2018-06-11T15:17:00Z</cp:lastPrinted>
  <dcterms:created xsi:type="dcterms:W3CDTF">2018-06-18T14:57:00Z</dcterms:created>
  <dcterms:modified xsi:type="dcterms:W3CDTF">2018-06-18T15:46:00Z</dcterms:modified>
</cp:coreProperties>
</file>