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5185">
        <w:rPr>
          <w:rFonts w:ascii="Arial" w:hAnsi="Arial" w:cs="Arial"/>
          <w:b/>
          <w:sz w:val="22"/>
          <w:szCs w:val="22"/>
          <w:lang w:val="pt-BR"/>
        </w:rPr>
        <w:t>4150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C6FE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5185">
        <w:rPr>
          <w:rFonts w:ascii="Arial" w:hAnsi="Arial" w:cs="Arial"/>
          <w:sz w:val="22"/>
          <w:szCs w:val="22"/>
          <w:lang w:val="pt-BR"/>
        </w:rPr>
        <w:t>2039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5185">
        <w:rPr>
          <w:rFonts w:ascii="Arial" w:hAnsi="Arial" w:cs="Arial"/>
          <w:sz w:val="22"/>
          <w:szCs w:val="22"/>
          <w:lang w:val="pt-BR"/>
        </w:rPr>
        <w:t>PCAL-DIVISÃO DE PATRIMONIO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5185">
        <w:rPr>
          <w:rFonts w:ascii="Arial" w:hAnsi="Arial" w:cs="Arial"/>
          <w:sz w:val="22"/>
          <w:szCs w:val="22"/>
          <w:lang w:val="pt-BR"/>
        </w:rPr>
        <w:t>AQUISIÇÃO DE BENS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15185">
        <w:rPr>
          <w:rFonts w:ascii="Arial" w:hAnsi="Arial" w:cs="Arial"/>
          <w:b/>
          <w:sz w:val="23"/>
          <w:szCs w:val="23"/>
        </w:rPr>
        <w:t>Luiz Honorato de Castro Jr.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DA1C-F112-4E5B-BBA3-AF25AE7B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2017-03-28T15:15:00Z</cp:lastPrinted>
  <dcterms:created xsi:type="dcterms:W3CDTF">2017-03-28T15:16:00Z</dcterms:created>
  <dcterms:modified xsi:type="dcterms:W3CDTF">2017-03-28T15:16:00Z</dcterms:modified>
</cp:coreProperties>
</file>