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04A1E">
        <w:rPr>
          <w:rFonts w:ascii="Arial" w:hAnsi="Arial" w:cs="Arial"/>
          <w:b/>
          <w:sz w:val="22"/>
          <w:szCs w:val="22"/>
          <w:lang w:val="pt-BR"/>
        </w:rPr>
        <w:t>4701 5802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04A1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304A1E">
        <w:rPr>
          <w:rFonts w:ascii="Arial" w:hAnsi="Arial" w:cs="Arial"/>
          <w:sz w:val="22"/>
          <w:szCs w:val="22"/>
          <w:lang w:val="pt-BR"/>
        </w:rPr>
        <w:t>61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04A1E">
        <w:rPr>
          <w:rFonts w:ascii="Arial" w:hAnsi="Arial" w:cs="Arial"/>
          <w:b/>
          <w:sz w:val="22"/>
          <w:szCs w:val="22"/>
          <w:lang w:val="pt-BR"/>
        </w:rPr>
        <w:t>HIDROCLINICA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04A1E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9365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ED922-2EFC-449D-A250-B63DB438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2017-04-10T14:47:00Z</cp:lastPrinted>
  <dcterms:created xsi:type="dcterms:W3CDTF">2017-04-10T14:48:00Z</dcterms:created>
  <dcterms:modified xsi:type="dcterms:W3CDTF">2017-04-10T14:48:00Z</dcterms:modified>
</cp:coreProperties>
</file>