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FE126C">
        <w:rPr>
          <w:rFonts w:ascii="Arial" w:hAnsi="Arial" w:cs="Arial"/>
          <w:b/>
          <w:sz w:val="22"/>
          <w:szCs w:val="22"/>
          <w:lang w:val="pt-BR"/>
        </w:rPr>
        <w:t xml:space="preserve"> 4701 5635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8668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FE126C">
        <w:rPr>
          <w:rFonts w:ascii="Arial" w:hAnsi="Arial" w:cs="Arial"/>
          <w:sz w:val="22"/>
          <w:szCs w:val="22"/>
          <w:lang w:val="pt-BR"/>
        </w:rPr>
        <w:t>75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FE126C">
        <w:rPr>
          <w:rFonts w:ascii="Arial" w:hAnsi="Arial" w:cs="Arial"/>
          <w:b/>
          <w:sz w:val="22"/>
          <w:szCs w:val="22"/>
          <w:lang w:val="pt-BR"/>
        </w:rPr>
        <w:t>CLINICA DE DOENÇAS RENAIS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E703-3795-4C8D-8CBD-A054620A0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2017-04-17T18:24:00Z</cp:lastPrinted>
  <dcterms:created xsi:type="dcterms:W3CDTF">2017-04-17T18:25:00Z</dcterms:created>
  <dcterms:modified xsi:type="dcterms:W3CDTF">2017-04-17T18:25:00Z</dcterms:modified>
</cp:coreProperties>
</file>