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A73309">
        <w:rPr>
          <w:rFonts w:ascii="Arial" w:hAnsi="Arial" w:cs="Arial"/>
          <w:b/>
          <w:sz w:val="22"/>
          <w:szCs w:val="22"/>
          <w:lang w:val="pt-BR"/>
        </w:rPr>
        <w:t>0090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E47D3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A73309">
        <w:rPr>
          <w:rFonts w:ascii="Arial" w:hAnsi="Arial" w:cs="Arial"/>
          <w:sz w:val="22"/>
          <w:szCs w:val="22"/>
          <w:lang w:val="pt-BR"/>
        </w:rPr>
        <w:t>07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A73309">
        <w:rPr>
          <w:rFonts w:ascii="Arial" w:hAnsi="Arial" w:cs="Arial"/>
          <w:b/>
          <w:sz w:val="22"/>
          <w:szCs w:val="22"/>
          <w:lang w:val="pt-BR"/>
        </w:rPr>
        <w:t>CLINICA  INFANTIL SANTA MARIA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FB7E4-EC82-41FB-B279-480E506D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2017-04-17T19:13:00Z</cp:lastPrinted>
  <dcterms:created xsi:type="dcterms:W3CDTF">2017-04-17T19:14:00Z</dcterms:created>
  <dcterms:modified xsi:type="dcterms:W3CDTF">2017-04-17T19:14:00Z</dcterms:modified>
</cp:coreProperties>
</file>