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41008A">
        <w:rPr>
          <w:rFonts w:ascii="Arial" w:hAnsi="Arial" w:cs="Arial"/>
          <w:b/>
          <w:sz w:val="22"/>
          <w:szCs w:val="22"/>
          <w:lang w:val="pt-BR"/>
        </w:rPr>
        <w:t>0179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1008A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41008A">
        <w:rPr>
          <w:rFonts w:ascii="Arial" w:hAnsi="Arial" w:cs="Arial"/>
          <w:sz w:val="22"/>
          <w:szCs w:val="22"/>
          <w:lang w:val="pt-BR"/>
        </w:rPr>
        <w:t>10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1008A">
        <w:rPr>
          <w:rFonts w:ascii="Arial" w:hAnsi="Arial" w:cs="Arial"/>
          <w:b/>
          <w:sz w:val="22"/>
          <w:szCs w:val="22"/>
          <w:lang w:val="pt-BR"/>
        </w:rPr>
        <w:t>CENTRO MÉDICO SANTA CECILIA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38B0B-418A-47A0-883A-8A26D17C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2017-04-17T19:16:00Z</cp:lastPrinted>
  <dcterms:created xsi:type="dcterms:W3CDTF">2017-04-17T19:17:00Z</dcterms:created>
  <dcterms:modified xsi:type="dcterms:W3CDTF">2017-04-17T19:17:00Z</dcterms:modified>
</cp:coreProperties>
</file>