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A0A89">
        <w:rPr>
          <w:rFonts w:ascii="Arial" w:hAnsi="Arial" w:cs="Arial"/>
          <w:b/>
          <w:sz w:val="22"/>
          <w:szCs w:val="22"/>
          <w:lang w:val="pt-BR"/>
        </w:rPr>
        <w:t>0006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5A0A89">
        <w:rPr>
          <w:rFonts w:ascii="Arial" w:hAnsi="Arial" w:cs="Arial"/>
          <w:sz w:val="22"/>
          <w:szCs w:val="22"/>
          <w:lang w:val="pt-BR"/>
        </w:rPr>
        <w:t>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A0A89">
        <w:rPr>
          <w:rFonts w:ascii="Arial" w:hAnsi="Arial" w:cs="Arial"/>
          <w:b/>
          <w:sz w:val="22"/>
          <w:szCs w:val="22"/>
          <w:lang w:val="pt-BR"/>
        </w:rPr>
        <w:t>LABORATÓRIO DE A. CLINICA DR. MARCOS PEIXOTO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A225-7005-4608-A68F-91D92552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2017-04-19T19:21:00Z</cp:lastPrinted>
  <dcterms:created xsi:type="dcterms:W3CDTF">2017-04-19T19:23:00Z</dcterms:created>
  <dcterms:modified xsi:type="dcterms:W3CDTF">2017-04-19T19:23:00Z</dcterms:modified>
</cp:coreProperties>
</file>