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AF33CF">
        <w:rPr>
          <w:rFonts w:ascii="Arial" w:hAnsi="Arial" w:cs="Arial"/>
          <w:b/>
          <w:lang w:val="pt-BR"/>
        </w:rPr>
        <w:t>0156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AF33CF">
        <w:rPr>
          <w:rFonts w:ascii="Arial" w:hAnsi="Arial" w:cs="Arial"/>
          <w:lang w:val="pt-BR"/>
        </w:rPr>
        <w:t>2341/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F33CF">
        <w:rPr>
          <w:rFonts w:ascii="Arial" w:hAnsi="Arial" w:cs="Arial"/>
          <w:lang w:val="pt-BR"/>
        </w:rPr>
        <w:t>LAB. DE ANATOMIA PATOLOGIA DE MACEIÓ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504FB-D7A5-4131-9506-3F254B08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2017-05-02T11:46:00Z</cp:lastPrinted>
  <dcterms:created xsi:type="dcterms:W3CDTF">2017-05-02T11:48:00Z</dcterms:created>
  <dcterms:modified xsi:type="dcterms:W3CDTF">2017-05-02T11:48:00Z</dcterms:modified>
</cp:coreProperties>
</file>