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CD1FA7">
        <w:rPr>
          <w:rFonts w:ascii="Arial" w:hAnsi="Arial" w:cs="Arial"/>
          <w:b/>
          <w:lang w:val="pt-BR"/>
        </w:rPr>
        <w:t>0054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CD1FA7">
        <w:rPr>
          <w:rFonts w:ascii="Arial" w:hAnsi="Arial" w:cs="Arial"/>
          <w:lang w:val="pt-BR"/>
        </w:rPr>
        <w:t>2343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F33CF">
        <w:rPr>
          <w:rFonts w:ascii="Arial" w:hAnsi="Arial" w:cs="Arial"/>
          <w:lang w:val="pt-BR"/>
        </w:rPr>
        <w:t xml:space="preserve">LAB. </w:t>
      </w:r>
      <w:r w:rsidR="00CD1FA7">
        <w:rPr>
          <w:rFonts w:ascii="Arial" w:hAnsi="Arial" w:cs="Arial"/>
          <w:lang w:val="pt-BR"/>
        </w:rPr>
        <w:t>PATOLOGIA CLINICA ADOLF LUTZ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8956-D9E7-40D6-8CD0-AE340B20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2017-05-02T11:56:00Z</cp:lastPrinted>
  <dcterms:created xsi:type="dcterms:W3CDTF">2017-05-02T11:57:00Z</dcterms:created>
  <dcterms:modified xsi:type="dcterms:W3CDTF">2017-05-02T11:57:00Z</dcterms:modified>
</cp:coreProperties>
</file>