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5C7671">
        <w:rPr>
          <w:rFonts w:ascii="Arial" w:hAnsi="Arial" w:cs="Arial"/>
          <w:b/>
          <w:lang w:val="pt-BR"/>
        </w:rPr>
        <w:t>0005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5C7671">
        <w:rPr>
          <w:rFonts w:ascii="Arial" w:hAnsi="Arial" w:cs="Arial"/>
          <w:lang w:val="pt-BR"/>
        </w:rPr>
        <w:t>2351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5C7671">
        <w:rPr>
          <w:rFonts w:ascii="Arial" w:hAnsi="Arial" w:cs="Arial"/>
          <w:lang w:val="pt-BR"/>
        </w:rPr>
        <w:t>ALERGO DERME LTDA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F52F8A">
        <w:rPr>
          <w:rFonts w:ascii="Arial" w:hAnsi="Arial" w:cs="Arial"/>
          <w:lang w:val="pt-BR"/>
        </w:rPr>
        <w:t>CLINICA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22449-B3EF-4339-BDAF-71B8026A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2017-05-02T12:20:00Z</cp:lastPrinted>
  <dcterms:created xsi:type="dcterms:W3CDTF">2017-05-02T12:21:00Z</dcterms:created>
  <dcterms:modified xsi:type="dcterms:W3CDTF">2017-05-02T12:21:00Z</dcterms:modified>
</cp:coreProperties>
</file>