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027F86">
        <w:rPr>
          <w:rFonts w:ascii="Arial" w:hAnsi="Arial" w:cs="Arial"/>
          <w:b/>
          <w:lang w:val="pt-BR"/>
        </w:rPr>
        <w:t>7258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027F86">
        <w:rPr>
          <w:rFonts w:ascii="Arial" w:hAnsi="Arial" w:cs="Arial"/>
          <w:lang w:val="pt-BR"/>
        </w:rPr>
        <w:t>2367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027F86">
        <w:rPr>
          <w:rFonts w:ascii="Arial" w:hAnsi="Arial" w:cs="Arial"/>
          <w:lang w:val="pt-BR"/>
        </w:rPr>
        <w:t>ANDERSON FLÁVIO DE MOURA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27F86">
        <w:rPr>
          <w:rFonts w:ascii="Arial" w:hAnsi="Arial" w:cs="Arial"/>
          <w:b/>
          <w:sz w:val="23"/>
          <w:szCs w:val="23"/>
        </w:rPr>
        <w:t>Márcia Soares Costa Correia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D45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1CC0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15022-CCC7-4332-985D-16FA8A3B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3</cp:revision>
  <cp:lastPrinted>2017-05-02T17:06:00Z</cp:lastPrinted>
  <dcterms:created xsi:type="dcterms:W3CDTF">2017-05-02T17:06:00Z</dcterms:created>
  <dcterms:modified xsi:type="dcterms:W3CDTF">2017-05-02T17:10:00Z</dcterms:modified>
</cp:coreProperties>
</file>