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6413F0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4A64EB">
        <w:rPr>
          <w:rFonts w:ascii="Arial" w:hAnsi="Arial" w:cs="Arial"/>
          <w:b/>
          <w:lang w:val="pt-BR"/>
        </w:rPr>
        <w:t>0170</w:t>
      </w:r>
      <w:r w:rsidR="00D7670C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4A64EB">
        <w:rPr>
          <w:rFonts w:ascii="Arial" w:hAnsi="Arial" w:cs="Arial"/>
          <w:lang w:val="pt-BR"/>
        </w:rPr>
        <w:t>2387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682D7C">
        <w:rPr>
          <w:rFonts w:ascii="Arial" w:hAnsi="Arial" w:cs="Arial"/>
          <w:lang w:val="pt-BR"/>
        </w:rPr>
        <w:t>SANTA CASA DE MISERICÓRDIA DE MACEIÓ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682D7C">
        <w:rPr>
          <w:rFonts w:ascii="Arial" w:hAnsi="Arial" w:cs="Arial"/>
          <w:lang w:val="pt-BR"/>
        </w:rPr>
        <w:t>PAGAMENTO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6413F0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2C1B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E070F-E35A-4A65-BA20-300D905F0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2017-05-03T18:07:00Z</cp:lastPrinted>
  <dcterms:created xsi:type="dcterms:W3CDTF">2017-05-03T18:07:00Z</dcterms:created>
  <dcterms:modified xsi:type="dcterms:W3CDTF">2017-05-03T18:07:00Z</dcterms:modified>
</cp:coreProperties>
</file>