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922C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22C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922C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922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922C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922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429A" w:rsidRPr="007922CE">
        <w:rPr>
          <w:rFonts w:asciiTheme="minorHAnsi" w:hAnsiTheme="minorHAnsi" w:cstheme="minorHAnsi"/>
          <w:bCs/>
          <w:sz w:val="21"/>
          <w:szCs w:val="21"/>
        </w:rPr>
        <w:t>2000-008002</w:t>
      </w:r>
      <w:r w:rsidR="00FA0070" w:rsidRPr="007922CE">
        <w:rPr>
          <w:rFonts w:asciiTheme="minorHAnsi" w:hAnsiTheme="minorHAnsi" w:cstheme="minorHAnsi"/>
          <w:bCs/>
          <w:sz w:val="21"/>
          <w:szCs w:val="21"/>
        </w:rPr>
        <w:t>/201</w:t>
      </w:r>
      <w:r w:rsidR="0058429A" w:rsidRPr="007922CE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7922C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22C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922C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7922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75DD" w:rsidRPr="007922CE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8E7F0F" w:rsidRPr="007922CE">
        <w:rPr>
          <w:rFonts w:asciiTheme="minorHAnsi" w:hAnsiTheme="minorHAnsi" w:cstheme="minorHAnsi"/>
          <w:bCs/>
          <w:sz w:val="21"/>
          <w:szCs w:val="21"/>
        </w:rPr>
        <w:t>.</w:t>
      </w:r>
      <w:r w:rsidR="00C218D1" w:rsidRPr="007922C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7922C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22C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922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429A" w:rsidRPr="007922CE">
        <w:rPr>
          <w:rFonts w:asciiTheme="minorHAnsi" w:hAnsiTheme="minorHAnsi" w:cstheme="minorHAnsi"/>
          <w:bCs/>
          <w:sz w:val="21"/>
          <w:szCs w:val="21"/>
        </w:rPr>
        <w:t>PAGAMENTO</w:t>
      </w:r>
      <w:r w:rsidR="008E7F0F" w:rsidRPr="007922CE">
        <w:rPr>
          <w:rFonts w:asciiTheme="minorHAnsi" w:hAnsiTheme="minorHAnsi" w:cstheme="minorHAnsi"/>
          <w:bCs/>
          <w:sz w:val="21"/>
          <w:szCs w:val="21"/>
        </w:rPr>
        <w:t>.</w:t>
      </w:r>
    </w:p>
    <w:p w:rsidR="00C218D1" w:rsidRPr="007922CE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7922CE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58429A" w:rsidRPr="007922CE">
        <w:rPr>
          <w:rFonts w:asciiTheme="minorHAnsi" w:hAnsiTheme="minorHAnsi" w:cstheme="minorHAnsi"/>
          <w:bCs/>
          <w:sz w:val="21"/>
          <w:szCs w:val="21"/>
        </w:rPr>
        <w:t>SOL. PAGAMENTO/JOSÉ WILLY CUELLAR PEDROZA JUNIOR</w:t>
      </w:r>
      <w:r w:rsidRPr="007922CE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7922C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922C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922CE">
        <w:rPr>
          <w:rFonts w:asciiTheme="minorHAnsi" w:hAnsiTheme="minorHAnsi" w:cstheme="minorHAnsi"/>
          <w:sz w:val="21"/>
          <w:szCs w:val="21"/>
        </w:rPr>
        <w:t>o</w:t>
      </w:r>
      <w:r w:rsidRPr="007922C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7922CE">
        <w:rPr>
          <w:rFonts w:asciiTheme="minorHAnsi" w:hAnsiTheme="minorHAnsi" w:cstheme="minorHAnsi"/>
          <w:bCs/>
          <w:sz w:val="21"/>
          <w:szCs w:val="21"/>
        </w:rPr>
        <w:t>2000-</w:t>
      </w:r>
      <w:r w:rsidR="008639D7" w:rsidRPr="007922CE">
        <w:rPr>
          <w:rFonts w:asciiTheme="minorHAnsi" w:hAnsiTheme="minorHAnsi" w:cstheme="minorHAnsi"/>
          <w:bCs/>
          <w:sz w:val="21"/>
          <w:szCs w:val="21"/>
        </w:rPr>
        <w:t>0</w:t>
      </w:r>
      <w:r w:rsidR="0058429A" w:rsidRPr="007922CE">
        <w:rPr>
          <w:rFonts w:asciiTheme="minorHAnsi" w:hAnsiTheme="minorHAnsi" w:cstheme="minorHAnsi"/>
          <w:bCs/>
          <w:sz w:val="21"/>
          <w:szCs w:val="21"/>
        </w:rPr>
        <w:t>08002</w:t>
      </w:r>
      <w:r w:rsidR="008639D7" w:rsidRPr="007922CE">
        <w:rPr>
          <w:rFonts w:asciiTheme="minorHAnsi" w:hAnsiTheme="minorHAnsi" w:cstheme="minorHAnsi"/>
          <w:bCs/>
          <w:sz w:val="21"/>
          <w:szCs w:val="21"/>
        </w:rPr>
        <w:t>/201</w:t>
      </w:r>
      <w:r w:rsidR="0058429A" w:rsidRPr="007922CE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7922C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922CE">
        <w:rPr>
          <w:rFonts w:asciiTheme="minorHAnsi" w:hAnsiTheme="minorHAnsi" w:cstheme="minorHAnsi"/>
          <w:sz w:val="21"/>
          <w:szCs w:val="21"/>
        </w:rPr>
        <w:t>em 0</w:t>
      </w:r>
      <w:r w:rsidR="00475A79" w:rsidRPr="007922CE">
        <w:rPr>
          <w:rFonts w:asciiTheme="minorHAnsi" w:hAnsiTheme="minorHAnsi" w:cstheme="minorHAnsi"/>
          <w:sz w:val="21"/>
          <w:szCs w:val="21"/>
        </w:rPr>
        <w:t>1</w:t>
      </w:r>
      <w:r w:rsidRPr="007922C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922CE">
        <w:rPr>
          <w:rFonts w:asciiTheme="minorHAnsi" w:hAnsiTheme="minorHAnsi" w:cstheme="minorHAnsi"/>
          <w:sz w:val="21"/>
          <w:szCs w:val="21"/>
        </w:rPr>
        <w:t>um</w:t>
      </w:r>
      <w:r w:rsidR="00226ED4" w:rsidRPr="007922CE">
        <w:rPr>
          <w:rFonts w:asciiTheme="minorHAnsi" w:hAnsiTheme="minorHAnsi" w:cstheme="minorHAnsi"/>
          <w:sz w:val="21"/>
          <w:szCs w:val="21"/>
        </w:rPr>
        <w:t>)</w:t>
      </w:r>
      <w:r w:rsidRPr="007922C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86672" w:rsidRPr="007922CE">
        <w:rPr>
          <w:rFonts w:asciiTheme="minorHAnsi" w:hAnsiTheme="minorHAnsi" w:cstheme="minorHAnsi"/>
          <w:sz w:val="21"/>
          <w:szCs w:val="21"/>
        </w:rPr>
        <w:t>1</w:t>
      </w:r>
      <w:r w:rsidR="0058429A" w:rsidRPr="007922CE">
        <w:rPr>
          <w:rFonts w:asciiTheme="minorHAnsi" w:hAnsiTheme="minorHAnsi" w:cstheme="minorHAnsi"/>
          <w:sz w:val="21"/>
          <w:szCs w:val="21"/>
        </w:rPr>
        <w:t>23</w:t>
      </w:r>
      <w:r w:rsidR="00DE72A7" w:rsidRPr="007922C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922CE">
        <w:rPr>
          <w:rFonts w:asciiTheme="minorHAnsi" w:hAnsiTheme="minorHAnsi" w:cstheme="minorHAnsi"/>
          <w:sz w:val="21"/>
          <w:szCs w:val="21"/>
        </w:rPr>
        <w:t>(</w:t>
      </w:r>
      <w:r w:rsidR="00B835FD" w:rsidRPr="007922CE">
        <w:rPr>
          <w:rFonts w:asciiTheme="minorHAnsi" w:hAnsiTheme="minorHAnsi" w:cstheme="minorHAnsi"/>
          <w:sz w:val="21"/>
          <w:szCs w:val="21"/>
        </w:rPr>
        <w:t xml:space="preserve">cento e </w:t>
      </w:r>
      <w:r w:rsidR="0058429A" w:rsidRPr="007922CE">
        <w:rPr>
          <w:rFonts w:asciiTheme="minorHAnsi" w:hAnsiTheme="minorHAnsi" w:cstheme="minorHAnsi"/>
          <w:sz w:val="21"/>
          <w:szCs w:val="21"/>
        </w:rPr>
        <w:t>vinte e três</w:t>
      </w:r>
      <w:r w:rsidR="004C6574" w:rsidRPr="007922CE">
        <w:rPr>
          <w:rFonts w:asciiTheme="minorHAnsi" w:hAnsiTheme="minorHAnsi" w:cstheme="minorHAnsi"/>
          <w:sz w:val="21"/>
          <w:szCs w:val="21"/>
        </w:rPr>
        <w:t>)</w:t>
      </w:r>
      <w:r w:rsidRPr="007922CE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7922C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922C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922CE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922CE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7922CE">
        <w:rPr>
          <w:rFonts w:asciiTheme="minorHAnsi" w:hAnsiTheme="minorHAnsi" w:cstheme="minorHAnsi"/>
          <w:sz w:val="21"/>
          <w:szCs w:val="21"/>
        </w:rPr>
        <w:t>o pagamento d</w:t>
      </w:r>
      <w:r w:rsidR="00B27A4C" w:rsidRPr="007922CE">
        <w:rPr>
          <w:rFonts w:asciiTheme="minorHAnsi" w:hAnsiTheme="minorHAnsi" w:cstheme="minorHAnsi"/>
          <w:sz w:val="21"/>
          <w:szCs w:val="21"/>
        </w:rPr>
        <w:t xml:space="preserve">os serviços prestados ao </w:t>
      </w:r>
      <w:r w:rsidR="00B835FD" w:rsidRPr="007922CE">
        <w:rPr>
          <w:rFonts w:asciiTheme="minorHAnsi" w:hAnsiTheme="minorHAnsi" w:cstheme="minorHAnsi"/>
          <w:sz w:val="21"/>
          <w:szCs w:val="21"/>
        </w:rPr>
        <w:t xml:space="preserve">paciente </w:t>
      </w:r>
      <w:r w:rsidR="0058429A" w:rsidRPr="007922CE">
        <w:rPr>
          <w:rFonts w:asciiTheme="minorHAnsi" w:hAnsiTheme="minorHAnsi" w:cstheme="minorHAnsi"/>
          <w:b/>
          <w:bCs/>
          <w:sz w:val="21"/>
          <w:szCs w:val="21"/>
        </w:rPr>
        <w:t>JOSÉ WILLY CUELLAR PEDROZA JUNIOR</w:t>
      </w:r>
      <w:r w:rsidR="00B84F1F" w:rsidRPr="007922CE">
        <w:rPr>
          <w:rFonts w:asciiTheme="minorHAnsi" w:hAnsiTheme="minorHAnsi" w:cstheme="minorHAnsi"/>
          <w:sz w:val="21"/>
          <w:szCs w:val="21"/>
        </w:rPr>
        <w:t xml:space="preserve"> </w:t>
      </w:r>
      <w:r w:rsidR="00B27A4C" w:rsidRPr="007922CE">
        <w:rPr>
          <w:rFonts w:asciiTheme="minorHAnsi" w:hAnsiTheme="minorHAnsi" w:cstheme="minorHAnsi"/>
          <w:sz w:val="21"/>
          <w:szCs w:val="21"/>
        </w:rPr>
        <w:t xml:space="preserve">referente </w:t>
      </w:r>
      <w:r w:rsidR="008E7F0F" w:rsidRPr="007922CE">
        <w:rPr>
          <w:rFonts w:asciiTheme="minorHAnsi" w:hAnsiTheme="minorHAnsi" w:cstheme="minorHAnsi"/>
          <w:sz w:val="21"/>
          <w:szCs w:val="21"/>
        </w:rPr>
        <w:t>a</w:t>
      </w:r>
      <w:r w:rsidR="00B835FD" w:rsidRPr="007922CE">
        <w:rPr>
          <w:rFonts w:asciiTheme="minorHAnsi" w:hAnsiTheme="minorHAnsi" w:cstheme="minorHAnsi"/>
          <w:sz w:val="21"/>
          <w:szCs w:val="21"/>
        </w:rPr>
        <w:t xml:space="preserve">o tratamento domiciliar diário de </w:t>
      </w:r>
      <w:r w:rsidR="00B84F1F" w:rsidRPr="007922CE">
        <w:rPr>
          <w:rFonts w:asciiTheme="minorHAnsi" w:hAnsiTheme="minorHAnsi" w:cstheme="minorHAnsi"/>
          <w:sz w:val="21"/>
          <w:szCs w:val="21"/>
        </w:rPr>
        <w:t>24</w:t>
      </w:r>
      <w:r w:rsidR="004447AF" w:rsidRPr="007922CE">
        <w:rPr>
          <w:rFonts w:asciiTheme="minorHAnsi" w:hAnsiTheme="minorHAnsi" w:cstheme="minorHAnsi"/>
          <w:sz w:val="21"/>
          <w:szCs w:val="21"/>
        </w:rPr>
        <w:t xml:space="preserve"> (</w:t>
      </w:r>
      <w:r w:rsidR="00B84F1F" w:rsidRPr="007922CE">
        <w:rPr>
          <w:rFonts w:asciiTheme="minorHAnsi" w:hAnsiTheme="minorHAnsi" w:cstheme="minorHAnsi"/>
          <w:sz w:val="21"/>
          <w:szCs w:val="21"/>
        </w:rPr>
        <w:t>vinte e quatro</w:t>
      </w:r>
      <w:r w:rsidR="00B835FD" w:rsidRPr="007922CE">
        <w:rPr>
          <w:rFonts w:asciiTheme="minorHAnsi" w:hAnsiTheme="minorHAnsi" w:cstheme="minorHAnsi"/>
          <w:sz w:val="21"/>
          <w:szCs w:val="21"/>
        </w:rPr>
        <w:t xml:space="preserve">) horas, </w:t>
      </w:r>
      <w:r w:rsidR="008E7F0F" w:rsidRPr="007922CE">
        <w:rPr>
          <w:rFonts w:asciiTheme="minorHAnsi" w:hAnsiTheme="minorHAnsi" w:cstheme="minorHAnsi"/>
          <w:sz w:val="21"/>
          <w:szCs w:val="21"/>
        </w:rPr>
        <w:t xml:space="preserve">realizado em </w:t>
      </w:r>
      <w:r w:rsidR="0058429A" w:rsidRPr="007922CE">
        <w:rPr>
          <w:rFonts w:asciiTheme="minorHAnsi" w:hAnsiTheme="minorHAnsi" w:cstheme="minorHAnsi"/>
          <w:sz w:val="21"/>
          <w:szCs w:val="21"/>
        </w:rPr>
        <w:t>ABRIL</w:t>
      </w:r>
      <w:r w:rsidR="006A7C9B" w:rsidRPr="007922CE">
        <w:rPr>
          <w:rFonts w:asciiTheme="minorHAnsi" w:hAnsiTheme="minorHAnsi" w:cstheme="minorHAnsi"/>
          <w:sz w:val="21"/>
          <w:szCs w:val="21"/>
        </w:rPr>
        <w:t>/201</w:t>
      </w:r>
      <w:r w:rsidR="0058429A" w:rsidRPr="007922CE">
        <w:rPr>
          <w:rFonts w:asciiTheme="minorHAnsi" w:hAnsiTheme="minorHAnsi" w:cstheme="minorHAnsi"/>
          <w:sz w:val="21"/>
          <w:szCs w:val="21"/>
        </w:rPr>
        <w:t>7</w:t>
      </w:r>
      <w:r w:rsidR="006A7C9B" w:rsidRPr="007922CE">
        <w:rPr>
          <w:rFonts w:asciiTheme="minorHAnsi" w:hAnsiTheme="minorHAnsi" w:cstheme="minorHAnsi"/>
          <w:sz w:val="21"/>
          <w:szCs w:val="21"/>
        </w:rPr>
        <w:t xml:space="preserve">, </w:t>
      </w:r>
      <w:r w:rsidR="00B835FD" w:rsidRPr="007922CE">
        <w:rPr>
          <w:rFonts w:asciiTheme="minorHAnsi" w:hAnsiTheme="minorHAnsi" w:cstheme="minorHAnsi"/>
          <w:sz w:val="21"/>
          <w:szCs w:val="21"/>
        </w:rPr>
        <w:t>provenientes de decisão Judicial</w:t>
      </w:r>
      <w:r w:rsidR="00A62C16" w:rsidRPr="007922CE">
        <w:rPr>
          <w:rFonts w:asciiTheme="minorHAnsi" w:hAnsiTheme="minorHAnsi" w:cstheme="minorHAnsi"/>
          <w:sz w:val="21"/>
          <w:szCs w:val="21"/>
        </w:rPr>
        <w:t xml:space="preserve">, </w:t>
      </w:r>
      <w:r w:rsidR="004E3963" w:rsidRPr="007922CE">
        <w:rPr>
          <w:rFonts w:asciiTheme="minorHAnsi" w:hAnsiTheme="minorHAnsi" w:cstheme="minorHAnsi"/>
          <w:sz w:val="21"/>
          <w:szCs w:val="21"/>
        </w:rPr>
        <w:t>MANDADO DE INTIMAÇÃO DETERMINADO POR HOME CARE – Nº 07</w:t>
      </w:r>
      <w:r w:rsidR="0058429A" w:rsidRPr="007922CE">
        <w:rPr>
          <w:rFonts w:asciiTheme="minorHAnsi" w:hAnsiTheme="minorHAnsi" w:cstheme="minorHAnsi"/>
          <w:sz w:val="21"/>
          <w:szCs w:val="21"/>
        </w:rPr>
        <w:t>09343</w:t>
      </w:r>
      <w:r w:rsidR="004E3963" w:rsidRPr="007922CE">
        <w:rPr>
          <w:rFonts w:asciiTheme="minorHAnsi" w:hAnsiTheme="minorHAnsi" w:cstheme="minorHAnsi"/>
          <w:sz w:val="21"/>
          <w:szCs w:val="21"/>
        </w:rPr>
        <w:t>-</w:t>
      </w:r>
      <w:r w:rsidR="0058429A" w:rsidRPr="007922CE">
        <w:rPr>
          <w:rFonts w:asciiTheme="minorHAnsi" w:hAnsiTheme="minorHAnsi" w:cstheme="minorHAnsi"/>
          <w:sz w:val="21"/>
          <w:szCs w:val="21"/>
        </w:rPr>
        <w:t>86</w:t>
      </w:r>
      <w:r w:rsidR="004E3963" w:rsidRPr="007922CE">
        <w:rPr>
          <w:rFonts w:asciiTheme="minorHAnsi" w:hAnsiTheme="minorHAnsi" w:cstheme="minorHAnsi"/>
          <w:sz w:val="21"/>
          <w:szCs w:val="21"/>
        </w:rPr>
        <w:t>.201</w:t>
      </w:r>
      <w:r w:rsidR="0058429A" w:rsidRPr="007922CE">
        <w:rPr>
          <w:rFonts w:asciiTheme="minorHAnsi" w:hAnsiTheme="minorHAnsi" w:cstheme="minorHAnsi"/>
          <w:sz w:val="21"/>
          <w:szCs w:val="21"/>
        </w:rPr>
        <w:t>6</w:t>
      </w:r>
      <w:r w:rsidR="004E3963" w:rsidRPr="007922CE">
        <w:rPr>
          <w:rFonts w:asciiTheme="minorHAnsi" w:hAnsiTheme="minorHAnsi" w:cstheme="minorHAnsi"/>
          <w:sz w:val="21"/>
          <w:szCs w:val="21"/>
        </w:rPr>
        <w:t xml:space="preserve">.8.02.0001, </w:t>
      </w:r>
      <w:r w:rsidR="00FA0070" w:rsidRPr="007922CE">
        <w:rPr>
          <w:rFonts w:asciiTheme="minorHAnsi" w:hAnsiTheme="minorHAnsi" w:cstheme="minorHAnsi"/>
          <w:sz w:val="21"/>
          <w:szCs w:val="21"/>
        </w:rPr>
        <w:t>atr</w:t>
      </w:r>
      <w:r w:rsidR="00B835FD" w:rsidRPr="007922CE">
        <w:rPr>
          <w:rFonts w:asciiTheme="minorHAnsi" w:hAnsiTheme="minorHAnsi" w:cstheme="minorHAnsi"/>
          <w:sz w:val="21"/>
          <w:szCs w:val="21"/>
        </w:rPr>
        <w:t xml:space="preserve">avés da </w:t>
      </w:r>
      <w:r w:rsidR="00B835FD" w:rsidRPr="007922CE">
        <w:rPr>
          <w:rFonts w:asciiTheme="minorHAnsi" w:hAnsiTheme="minorHAnsi" w:cstheme="minorHAnsi"/>
          <w:b/>
          <w:sz w:val="21"/>
          <w:szCs w:val="21"/>
        </w:rPr>
        <w:t>ONG</w:t>
      </w:r>
      <w:r w:rsidR="00FA0070" w:rsidRPr="007922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3F3" w:rsidRPr="007922CE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3B48BC" w:rsidRPr="007922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7922CE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B835FD" w:rsidRPr="007922CE">
        <w:rPr>
          <w:rFonts w:asciiTheme="minorHAnsi" w:hAnsiTheme="minorHAnsi" w:cstheme="minorHAnsi"/>
          <w:b/>
          <w:sz w:val="21"/>
          <w:szCs w:val="21"/>
        </w:rPr>
        <w:t>nº 12.450.268/0001-04</w:t>
      </w:r>
      <w:r w:rsidR="00FA0070" w:rsidRPr="007922CE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7922CE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7922CE">
        <w:rPr>
          <w:rFonts w:asciiTheme="minorHAnsi" w:hAnsiTheme="minorHAnsi" w:cstheme="minorHAnsi"/>
          <w:b/>
          <w:sz w:val="21"/>
          <w:szCs w:val="21"/>
        </w:rPr>
        <w:t>R$</w:t>
      </w:r>
      <w:r w:rsidR="00B84F1F" w:rsidRPr="007922CE">
        <w:rPr>
          <w:rFonts w:asciiTheme="minorHAnsi" w:hAnsiTheme="minorHAnsi" w:cstheme="minorHAnsi"/>
          <w:b/>
          <w:sz w:val="21"/>
          <w:szCs w:val="21"/>
        </w:rPr>
        <w:t>37.230,00</w:t>
      </w:r>
      <w:r w:rsidR="00376D2C" w:rsidRPr="007922CE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B84F1F" w:rsidRPr="007922CE">
        <w:rPr>
          <w:rFonts w:asciiTheme="minorHAnsi" w:hAnsiTheme="minorHAnsi" w:cstheme="minorHAnsi"/>
          <w:b/>
          <w:sz w:val="21"/>
          <w:szCs w:val="21"/>
        </w:rPr>
        <w:t>trinta e sete mil, duzentos e trinta</w:t>
      </w:r>
      <w:proofErr w:type="gramEnd"/>
      <w:r w:rsidR="00B84F1F" w:rsidRPr="007922C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6E6F72" w:rsidRPr="007922CE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7922CE">
        <w:rPr>
          <w:rFonts w:asciiTheme="minorHAnsi" w:hAnsiTheme="minorHAnsi" w:cstheme="minorHAnsi"/>
          <w:sz w:val="21"/>
          <w:szCs w:val="21"/>
        </w:rPr>
        <w:t>.</w:t>
      </w:r>
    </w:p>
    <w:p w:rsidR="00581A61" w:rsidRPr="007922CE" w:rsidRDefault="00581A61" w:rsidP="00F7131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922C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922CE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a legislação vigente, especialmente as Leis Federais </w:t>
      </w:r>
      <w:proofErr w:type="spellStart"/>
      <w:r w:rsidRPr="007922CE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Pr="007922CE">
        <w:rPr>
          <w:rFonts w:asciiTheme="minorHAnsi" w:hAnsiTheme="minorHAnsi" w:cstheme="minorHAnsi"/>
          <w:sz w:val="21"/>
          <w:szCs w:val="21"/>
        </w:rPr>
        <w:t xml:space="preserve"> 4.320/1964 e 8.666/1993. Atendo-se à disciplina estabelecida pela legislação vigente, confere-se que o presente Processo Administrativo foi instruído como segue:</w:t>
      </w:r>
    </w:p>
    <w:p w:rsidR="00CF7015" w:rsidRPr="007922CE" w:rsidRDefault="00581A61" w:rsidP="000C6621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 xml:space="preserve">Fls. 02/81, </w:t>
      </w:r>
      <w:r w:rsidR="00BF2EAC" w:rsidRPr="007922CE">
        <w:rPr>
          <w:rFonts w:asciiTheme="minorHAnsi" w:hAnsiTheme="minorHAnsi" w:cstheme="minorHAnsi"/>
          <w:sz w:val="21"/>
          <w:szCs w:val="21"/>
        </w:rPr>
        <w:t>Con</w:t>
      </w:r>
      <w:r w:rsidRPr="007922CE">
        <w:rPr>
          <w:rFonts w:asciiTheme="minorHAnsi" w:hAnsiTheme="minorHAnsi" w:cstheme="minorHAnsi"/>
          <w:sz w:val="21"/>
          <w:szCs w:val="21"/>
        </w:rPr>
        <w:t>tém Ofício nº 204/2017, de 11/05/2017, de lavra da Presidenta, Tereza Maria Barreto do Amaral, solicitando o</w:t>
      </w:r>
      <w:r w:rsidR="00621A7B" w:rsidRPr="007922CE">
        <w:rPr>
          <w:rFonts w:asciiTheme="minorHAnsi" w:hAnsiTheme="minorHAnsi" w:cstheme="minorHAnsi"/>
          <w:sz w:val="21"/>
          <w:szCs w:val="21"/>
        </w:rPr>
        <w:t xml:space="preserve"> pagamento </w:t>
      </w:r>
      <w:r w:rsidR="006A7C9B" w:rsidRPr="007922CE">
        <w:rPr>
          <w:rFonts w:asciiTheme="minorHAnsi" w:hAnsiTheme="minorHAnsi" w:cstheme="minorHAnsi"/>
          <w:sz w:val="21"/>
          <w:szCs w:val="21"/>
        </w:rPr>
        <w:t xml:space="preserve">dos serviços prestados ao </w:t>
      </w:r>
      <w:r w:rsidR="004447AF" w:rsidRPr="007922CE">
        <w:rPr>
          <w:rFonts w:asciiTheme="minorHAnsi" w:hAnsiTheme="minorHAnsi" w:cstheme="minorHAnsi"/>
          <w:sz w:val="21"/>
          <w:szCs w:val="21"/>
        </w:rPr>
        <w:t xml:space="preserve">paciente </w:t>
      </w:r>
      <w:r w:rsidR="00BA480B" w:rsidRPr="007922CE">
        <w:rPr>
          <w:rFonts w:asciiTheme="minorHAnsi" w:hAnsiTheme="minorHAnsi" w:cstheme="minorHAnsi"/>
          <w:b/>
          <w:bCs/>
          <w:sz w:val="21"/>
          <w:szCs w:val="21"/>
        </w:rPr>
        <w:t>JOSÉ WILLY CUELLAR PEDROZA JUNIOR,</w:t>
      </w:r>
      <w:r w:rsidR="00BA480B" w:rsidRPr="007922CE">
        <w:rPr>
          <w:rFonts w:asciiTheme="minorHAnsi" w:hAnsiTheme="minorHAnsi" w:cstheme="minorHAnsi"/>
          <w:sz w:val="21"/>
          <w:szCs w:val="21"/>
        </w:rPr>
        <w:t xml:space="preserve"> </w:t>
      </w:r>
      <w:r w:rsidR="004447AF" w:rsidRPr="007922CE">
        <w:rPr>
          <w:rFonts w:asciiTheme="minorHAnsi" w:hAnsiTheme="minorHAnsi" w:cstheme="minorHAnsi"/>
          <w:sz w:val="21"/>
          <w:szCs w:val="21"/>
        </w:rPr>
        <w:t>referente ao tr</w:t>
      </w:r>
      <w:r w:rsidR="00B84F1F" w:rsidRPr="007922CE">
        <w:rPr>
          <w:rFonts w:asciiTheme="minorHAnsi" w:hAnsiTheme="minorHAnsi" w:cstheme="minorHAnsi"/>
          <w:sz w:val="21"/>
          <w:szCs w:val="21"/>
        </w:rPr>
        <w:t>atamento domiciliar diário de 24</w:t>
      </w:r>
      <w:r w:rsidR="004447AF" w:rsidRPr="007922CE">
        <w:rPr>
          <w:rFonts w:asciiTheme="minorHAnsi" w:hAnsiTheme="minorHAnsi" w:cstheme="minorHAnsi"/>
          <w:sz w:val="21"/>
          <w:szCs w:val="21"/>
        </w:rPr>
        <w:t xml:space="preserve"> (</w:t>
      </w:r>
      <w:r w:rsidR="00B84F1F" w:rsidRPr="007922CE">
        <w:rPr>
          <w:rFonts w:asciiTheme="minorHAnsi" w:hAnsiTheme="minorHAnsi" w:cstheme="minorHAnsi"/>
          <w:sz w:val="21"/>
          <w:szCs w:val="21"/>
        </w:rPr>
        <w:t xml:space="preserve">vinte e quatro) horas, realizado em </w:t>
      </w:r>
      <w:r w:rsidR="00BA480B" w:rsidRPr="007922CE">
        <w:rPr>
          <w:rFonts w:asciiTheme="minorHAnsi" w:hAnsiTheme="minorHAnsi" w:cstheme="minorHAnsi"/>
          <w:sz w:val="21"/>
          <w:szCs w:val="21"/>
        </w:rPr>
        <w:t>abril</w:t>
      </w:r>
      <w:r w:rsidR="004447AF" w:rsidRPr="007922CE">
        <w:rPr>
          <w:rFonts w:asciiTheme="minorHAnsi" w:hAnsiTheme="minorHAnsi" w:cstheme="minorHAnsi"/>
          <w:sz w:val="21"/>
          <w:szCs w:val="21"/>
        </w:rPr>
        <w:t>/201</w:t>
      </w:r>
      <w:r w:rsidR="00BA480B" w:rsidRPr="007922CE">
        <w:rPr>
          <w:rFonts w:asciiTheme="minorHAnsi" w:hAnsiTheme="minorHAnsi" w:cstheme="minorHAnsi"/>
          <w:sz w:val="21"/>
          <w:szCs w:val="21"/>
        </w:rPr>
        <w:t>7</w:t>
      </w:r>
      <w:r w:rsidR="004447AF" w:rsidRPr="007922CE">
        <w:rPr>
          <w:rFonts w:asciiTheme="minorHAnsi" w:hAnsiTheme="minorHAnsi" w:cstheme="minorHAnsi"/>
          <w:sz w:val="21"/>
          <w:szCs w:val="21"/>
        </w:rPr>
        <w:t xml:space="preserve">, provenientes de decisão Judicial, </w:t>
      </w:r>
      <w:r w:rsidR="004E3963" w:rsidRPr="007922CE">
        <w:rPr>
          <w:rFonts w:asciiTheme="minorHAnsi" w:hAnsiTheme="minorHAnsi" w:cstheme="minorHAnsi"/>
          <w:sz w:val="21"/>
          <w:szCs w:val="21"/>
        </w:rPr>
        <w:t xml:space="preserve">MANDADO DE INTIMAÇÃO DETERMINADO POR HOME CARE – Nº </w:t>
      </w:r>
      <w:r w:rsidR="00BA480B" w:rsidRPr="007922CE">
        <w:rPr>
          <w:rFonts w:asciiTheme="minorHAnsi" w:hAnsiTheme="minorHAnsi" w:cstheme="minorHAnsi"/>
          <w:sz w:val="21"/>
          <w:szCs w:val="21"/>
        </w:rPr>
        <w:t>0709343-86.2016.8.02.0001</w:t>
      </w:r>
      <w:r w:rsidR="004E3963" w:rsidRPr="007922CE">
        <w:rPr>
          <w:rFonts w:asciiTheme="minorHAnsi" w:hAnsiTheme="minorHAnsi" w:cstheme="minorHAnsi"/>
          <w:sz w:val="21"/>
          <w:szCs w:val="21"/>
        </w:rPr>
        <w:t xml:space="preserve">, </w:t>
      </w:r>
      <w:r w:rsidR="004447AF" w:rsidRPr="007922CE">
        <w:rPr>
          <w:rFonts w:asciiTheme="minorHAnsi" w:hAnsiTheme="minorHAnsi" w:cstheme="minorHAnsi"/>
          <w:sz w:val="21"/>
          <w:szCs w:val="21"/>
        </w:rPr>
        <w:t xml:space="preserve">através da ONG </w:t>
      </w:r>
      <w:r w:rsidR="004447AF" w:rsidRPr="007922CE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4447AF" w:rsidRPr="007922CE">
        <w:rPr>
          <w:rFonts w:asciiTheme="minorHAnsi" w:hAnsiTheme="minorHAnsi" w:cstheme="minorHAnsi"/>
          <w:sz w:val="21"/>
          <w:szCs w:val="21"/>
        </w:rPr>
        <w:t xml:space="preserve"> (CNPJ nº 12.450.268/0001-04). A solicitação de pagamento está orçada em </w:t>
      </w:r>
      <w:r w:rsidR="00B84F1F" w:rsidRPr="007922CE">
        <w:rPr>
          <w:rFonts w:asciiTheme="minorHAnsi" w:hAnsiTheme="minorHAnsi" w:cstheme="minorHAnsi"/>
          <w:b/>
          <w:sz w:val="21"/>
          <w:szCs w:val="21"/>
        </w:rPr>
        <w:t>R$37.230,00 (trinta e sete mil, duzentos e trinta reais)</w:t>
      </w:r>
      <w:r w:rsidR="00621A7B" w:rsidRPr="007922CE">
        <w:rPr>
          <w:rFonts w:asciiTheme="minorHAnsi" w:hAnsiTheme="minorHAnsi" w:cstheme="minorHAnsi"/>
          <w:sz w:val="21"/>
          <w:szCs w:val="21"/>
        </w:rPr>
        <w:t xml:space="preserve">, </w:t>
      </w:r>
      <w:r w:rsidR="003C585D" w:rsidRPr="007922CE">
        <w:rPr>
          <w:rFonts w:asciiTheme="minorHAnsi" w:hAnsiTheme="minorHAnsi" w:cstheme="minorHAnsi"/>
          <w:sz w:val="21"/>
          <w:szCs w:val="21"/>
        </w:rPr>
        <w:t xml:space="preserve">anexando documentos da credora e dos relatórios diários de acompanhamento da Técnica de Enfermagem, </w:t>
      </w:r>
      <w:r w:rsidR="000473B9" w:rsidRPr="007922CE">
        <w:rPr>
          <w:rFonts w:asciiTheme="minorHAnsi" w:hAnsiTheme="minorHAnsi" w:cstheme="minorHAnsi"/>
          <w:sz w:val="21"/>
          <w:szCs w:val="21"/>
        </w:rPr>
        <w:t xml:space="preserve">Médico, psicóloga, </w:t>
      </w:r>
      <w:r w:rsidRPr="007922CE">
        <w:rPr>
          <w:rFonts w:asciiTheme="minorHAnsi" w:hAnsiTheme="minorHAnsi" w:cstheme="minorHAnsi"/>
          <w:sz w:val="21"/>
          <w:szCs w:val="21"/>
        </w:rPr>
        <w:t>Nutricionista e Fisioterapeuta</w:t>
      </w:r>
      <w:r w:rsidR="00CF7015" w:rsidRPr="007922CE">
        <w:rPr>
          <w:rFonts w:asciiTheme="minorHAnsi" w:hAnsiTheme="minorHAnsi" w:cstheme="minorHAnsi"/>
          <w:sz w:val="21"/>
          <w:szCs w:val="21"/>
        </w:rPr>
        <w:t>.</w:t>
      </w:r>
    </w:p>
    <w:p w:rsidR="00621A7B" w:rsidRPr="007922CE" w:rsidRDefault="00903984" w:rsidP="000C6621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 xml:space="preserve">Fls. 82/86 e 114/116, </w:t>
      </w:r>
      <w:r w:rsidR="00621A7B" w:rsidRPr="007922CE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 w:rsidRPr="007922CE">
        <w:rPr>
          <w:rFonts w:asciiTheme="minorHAnsi" w:hAnsiTheme="minorHAnsi" w:cstheme="minorHAnsi"/>
          <w:sz w:val="21"/>
          <w:szCs w:val="21"/>
        </w:rPr>
        <w:t>,</w:t>
      </w:r>
      <w:r w:rsidR="00621A7B" w:rsidRPr="007922C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21A7B" w:rsidRPr="007922CE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="00621A7B" w:rsidRPr="007922CE">
        <w:rPr>
          <w:rFonts w:asciiTheme="minorHAnsi" w:hAnsiTheme="minorHAnsi" w:cstheme="minorHAnsi"/>
          <w:sz w:val="21"/>
          <w:szCs w:val="21"/>
        </w:rPr>
        <w:t xml:space="preserve"> Certidões de Regularidade da </w:t>
      </w:r>
      <w:r w:rsidR="006663F3" w:rsidRPr="007922CE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3C585D" w:rsidRPr="007922CE">
        <w:rPr>
          <w:rFonts w:asciiTheme="minorHAnsi" w:hAnsiTheme="minorHAnsi" w:cstheme="minorHAnsi"/>
          <w:sz w:val="21"/>
          <w:szCs w:val="21"/>
        </w:rPr>
        <w:t xml:space="preserve"> (CNPJ nº 12.450.268/0001-04)</w:t>
      </w:r>
      <w:r w:rsidR="00621A7B" w:rsidRPr="007922CE">
        <w:rPr>
          <w:rFonts w:asciiTheme="minorHAnsi" w:hAnsiTheme="minorHAnsi" w:cstheme="minorHAnsi"/>
          <w:sz w:val="21"/>
          <w:szCs w:val="21"/>
        </w:rPr>
        <w:t>, vencidas.</w:t>
      </w:r>
    </w:p>
    <w:p w:rsidR="008A4EFB" w:rsidRPr="007922CE" w:rsidRDefault="008A4EFB" w:rsidP="000C6621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 xml:space="preserve">Fls. 87/88, consta nos autos cópia do Ofício nº 1.907/16/SESAU/AL, de 08/11/2016, de lavra da Secretaria Executiva para Ações de Saúde, </w:t>
      </w:r>
      <w:proofErr w:type="spellStart"/>
      <w:r w:rsidRPr="007922CE">
        <w:rPr>
          <w:rFonts w:asciiTheme="minorHAnsi" w:hAnsiTheme="minorHAnsi" w:cstheme="minorHAnsi"/>
          <w:sz w:val="21"/>
          <w:szCs w:val="21"/>
        </w:rPr>
        <w:t>Rosimeire</w:t>
      </w:r>
      <w:proofErr w:type="spellEnd"/>
      <w:r w:rsidRPr="007922CE">
        <w:rPr>
          <w:rFonts w:asciiTheme="minorHAnsi" w:hAnsiTheme="minorHAnsi" w:cstheme="minorHAnsi"/>
          <w:sz w:val="21"/>
          <w:szCs w:val="21"/>
        </w:rPr>
        <w:t xml:space="preserve"> Rodrigues Cavalcanti, autorizando a realização dos serviços e mencionando a decisão judicial.</w:t>
      </w:r>
    </w:p>
    <w:p w:rsidR="008A4EFB" w:rsidRPr="007922CE" w:rsidRDefault="008A4EFB" w:rsidP="000C6621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>Fls. 89/</w:t>
      </w:r>
      <w:r w:rsidR="00CB06A6" w:rsidRPr="007922CE">
        <w:rPr>
          <w:rFonts w:asciiTheme="minorHAnsi" w:hAnsiTheme="minorHAnsi" w:cstheme="minorHAnsi"/>
          <w:sz w:val="21"/>
          <w:szCs w:val="21"/>
        </w:rPr>
        <w:t xml:space="preserve">104 consta cópia do Estatuto da Associação </w:t>
      </w:r>
      <w:proofErr w:type="spellStart"/>
      <w:r w:rsidR="00CB06A6" w:rsidRPr="007922CE">
        <w:rPr>
          <w:rFonts w:asciiTheme="minorHAnsi" w:hAnsiTheme="minorHAnsi" w:cstheme="minorHAnsi"/>
          <w:sz w:val="21"/>
          <w:szCs w:val="21"/>
        </w:rPr>
        <w:t>Pestalozzi</w:t>
      </w:r>
      <w:proofErr w:type="spellEnd"/>
      <w:r w:rsidR="00CB06A6" w:rsidRPr="007922CE">
        <w:rPr>
          <w:rFonts w:asciiTheme="minorHAnsi" w:hAnsiTheme="minorHAnsi" w:cstheme="minorHAnsi"/>
          <w:sz w:val="21"/>
          <w:szCs w:val="21"/>
        </w:rPr>
        <w:t xml:space="preserve"> de Maceió.</w:t>
      </w:r>
    </w:p>
    <w:p w:rsidR="002D05FC" w:rsidRPr="007922CE" w:rsidRDefault="00903984" w:rsidP="000C6621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>Fls. 106/108</w:t>
      </w:r>
      <w:r w:rsidR="002D05FC" w:rsidRPr="007922CE">
        <w:rPr>
          <w:rFonts w:asciiTheme="minorHAnsi" w:hAnsiTheme="minorHAnsi" w:cstheme="minorHAnsi"/>
          <w:sz w:val="21"/>
          <w:szCs w:val="21"/>
        </w:rPr>
        <w:t xml:space="preserve"> </w:t>
      </w:r>
      <w:r w:rsidRPr="007922CE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C585D" w:rsidRPr="007922CE">
        <w:rPr>
          <w:rFonts w:asciiTheme="minorHAnsi" w:hAnsiTheme="minorHAnsi" w:cstheme="minorHAnsi"/>
          <w:sz w:val="21"/>
          <w:szCs w:val="21"/>
        </w:rPr>
        <w:t xml:space="preserve">Nota Técnica nº </w:t>
      </w:r>
      <w:r w:rsidR="00BA480B" w:rsidRPr="007922CE">
        <w:rPr>
          <w:rFonts w:asciiTheme="minorHAnsi" w:hAnsiTheme="minorHAnsi" w:cstheme="minorHAnsi"/>
          <w:sz w:val="21"/>
          <w:szCs w:val="21"/>
        </w:rPr>
        <w:t>231</w:t>
      </w:r>
      <w:r w:rsidR="003C585D" w:rsidRPr="007922CE">
        <w:rPr>
          <w:rFonts w:asciiTheme="minorHAnsi" w:hAnsiTheme="minorHAnsi" w:cstheme="minorHAnsi"/>
          <w:sz w:val="21"/>
          <w:szCs w:val="21"/>
        </w:rPr>
        <w:t xml:space="preserve">/2017, </w:t>
      </w:r>
      <w:r w:rsidRPr="007922CE">
        <w:rPr>
          <w:rFonts w:asciiTheme="minorHAnsi" w:hAnsiTheme="minorHAnsi" w:cstheme="minorHAnsi"/>
          <w:sz w:val="21"/>
          <w:szCs w:val="21"/>
        </w:rPr>
        <w:t xml:space="preserve">de </w:t>
      </w:r>
      <w:r w:rsidR="009976D8" w:rsidRPr="007922CE">
        <w:rPr>
          <w:rFonts w:asciiTheme="minorHAnsi" w:hAnsiTheme="minorHAnsi" w:cstheme="minorHAnsi"/>
          <w:sz w:val="21"/>
          <w:szCs w:val="21"/>
        </w:rPr>
        <w:t xml:space="preserve">26/06/2017, de lavra dos Auditores, Maria dos Prazeres Coelho Batista Dias, Assessor Técnico de Auditoria Assistencial e Verônica Maria de Holanda Padilha, Médica Auditora da SESAU, </w:t>
      </w:r>
      <w:r w:rsidRPr="007922CE">
        <w:rPr>
          <w:rFonts w:asciiTheme="minorHAnsi" w:hAnsiTheme="minorHAnsi" w:cstheme="minorHAnsi"/>
          <w:sz w:val="21"/>
          <w:szCs w:val="21"/>
        </w:rPr>
        <w:t xml:space="preserve">onde </w:t>
      </w:r>
      <w:r w:rsidR="001D1981" w:rsidRPr="007922CE">
        <w:rPr>
          <w:rFonts w:asciiTheme="minorHAnsi" w:hAnsiTheme="minorHAnsi" w:cstheme="minorHAnsi"/>
          <w:sz w:val="21"/>
          <w:szCs w:val="21"/>
        </w:rPr>
        <w:t>constam</w:t>
      </w:r>
      <w:r w:rsidR="003C585D" w:rsidRPr="007922CE">
        <w:rPr>
          <w:rFonts w:asciiTheme="minorHAnsi" w:hAnsiTheme="minorHAnsi" w:cstheme="minorHAnsi"/>
          <w:sz w:val="21"/>
          <w:szCs w:val="21"/>
        </w:rPr>
        <w:t xml:space="preserve"> </w:t>
      </w:r>
      <w:r w:rsidR="002D05FC" w:rsidRPr="007922CE">
        <w:rPr>
          <w:rFonts w:asciiTheme="minorHAnsi" w:hAnsiTheme="minorHAnsi" w:cstheme="minorHAnsi"/>
          <w:sz w:val="21"/>
          <w:szCs w:val="21"/>
        </w:rPr>
        <w:t xml:space="preserve">informações </w:t>
      </w:r>
      <w:r w:rsidR="003C585D" w:rsidRPr="007922CE">
        <w:rPr>
          <w:rFonts w:asciiTheme="minorHAnsi" w:hAnsiTheme="minorHAnsi" w:cstheme="minorHAnsi"/>
          <w:sz w:val="21"/>
          <w:szCs w:val="21"/>
        </w:rPr>
        <w:t xml:space="preserve">da visita </w:t>
      </w:r>
      <w:r w:rsidR="003C585D" w:rsidRPr="007922CE">
        <w:rPr>
          <w:rFonts w:asciiTheme="minorHAnsi" w:hAnsiTheme="minorHAnsi" w:cstheme="minorHAnsi"/>
          <w:sz w:val="21"/>
          <w:szCs w:val="21"/>
        </w:rPr>
        <w:lastRenderedPageBreak/>
        <w:t>técnica (auditoria)</w:t>
      </w:r>
      <w:r w:rsidR="0071059F" w:rsidRPr="007922CE">
        <w:rPr>
          <w:rFonts w:asciiTheme="minorHAnsi" w:hAnsiTheme="minorHAnsi" w:cstheme="minorHAnsi"/>
          <w:sz w:val="21"/>
          <w:szCs w:val="21"/>
        </w:rPr>
        <w:t xml:space="preserve"> para verificação dos serviços prestados</w:t>
      </w:r>
      <w:r w:rsidR="001D1981" w:rsidRPr="007922CE">
        <w:rPr>
          <w:rFonts w:asciiTheme="minorHAnsi" w:hAnsiTheme="minorHAnsi" w:cstheme="minorHAnsi"/>
          <w:sz w:val="21"/>
          <w:szCs w:val="21"/>
        </w:rPr>
        <w:t xml:space="preserve">. Verifica-se que </w:t>
      </w:r>
      <w:r w:rsidR="0071059F" w:rsidRPr="007922CE">
        <w:rPr>
          <w:rFonts w:asciiTheme="minorHAnsi" w:hAnsiTheme="minorHAnsi" w:cstheme="minorHAnsi"/>
          <w:sz w:val="21"/>
          <w:szCs w:val="21"/>
        </w:rPr>
        <w:t>fo</w:t>
      </w:r>
      <w:r w:rsidR="001D1981" w:rsidRPr="007922CE">
        <w:rPr>
          <w:rFonts w:asciiTheme="minorHAnsi" w:hAnsiTheme="minorHAnsi" w:cstheme="minorHAnsi"/>
          <w:sz w:val="21"/>
          <w:szCs w:val="21"/>
        </w:rPr>
        <w:t>ram</w:t>
      </w:r>
      <w:r w:rsidR="0071059F" w:rsidRPr="007922CE">
        <w:rPr>
          <w:rFonts w:asciiTheme="minorHAnsi" w:hAnsiTheme="minorHAnsi" w:cstheme="minorHAnsi"/>
          <w:sz w:val="21"/>
          <w:szCs w:val="21"/>
        </w:rPr>
        <w:t xml:space="preserve"> detectad</w:t>
      </w:r>
      <w:r w:rsidR="001D1981" w:rsidRPr="007922CE">
        <w:rPr>
          <w:rFonts w:asciiTheme="minorHAnsi" w:hAnsiTheme="minorHAnsi" w:cstheme="minorHAnsi"/>
          <w:sz w:val="21"/>
          <w:szCs w:val="21"/>
        </w:rPr>
        <w:t>as</w:t>
      </w:r>
      <w:r w:rsidR="0071059F" w:rsidRPr="007922CE">
        <w:rPr>
          <w:rFonts w:asciiTheme="minorHAnsi" w:hAnsiTheme="minorHAnsi" w:cstheme="minorHAnsi"/>
          <w:sz w:val="21"/>
          <w:szCs w:val="21"/>
        </w:rPr>
        <w:t xml:space="preserve"> divergências nos quantitativos de visitas da equipe multidisciplinar a menor, considerando a proposta no “PLANO OPERATIVO ANUAL”</w:t>
      </w:r>
      <w:r w:rsidR="00B810D7" w:rsidRPr="007922CE">
        <w:rPr>
          <w:rFonts w:asciiTheme="minorHAnsi" w:hAnsiTheme="minorHAnsi" w:cstheme="minorHAnsi"/>
          <w:sz w:val="21"/>
          <w:szCs w:val="21"/>
        </w:rPr>
        <w:t xml:space="preserve">, depois da auditoria realizada, autorizando somente o pagamento de </w:t>
      </w:r>
      <w:r w:rsidR="000345E7" w:rsidRPr="007922CE">
        <w:rPr>
          <w:rFonts w:asciiTheme="minorHAnsi" w:hAnsiTheme="minorHAnsi" w:cstheme="minorHAnsi"/>
          <w:b/>
          <w:sz w:val="21"/>
          <w:szCs w:val="21"/>
        </w:rPr>
        <w:t>R$</w:t>
      </w:r>
      <w:r w:rsidR="00BB3A73" w:rsidRPr="007922CE">
        <w:rPr>
          <w:rFonts w:asciiTheme="minorHAnsi" w:hAnsiTheme="minorHAnsi" w:cstheme="minorHAnsi"/>
          <w:b/>
          <w:sz w:val="21"/>
          <w:szCs w:val="21"/>
        </w:rPr>
        <w:t>29.784,00</w:t>
      </w:r>
      <w:r w:rsidR="000345E7" w:rsidRPr="007922CE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BB3A73" w:rsidRPr="007922CE">
        <w:rPr>
          <w:rFonts w:asciiTheme="minorHAnsi" w:hAnsiTheme="minorHAnsi" w:cstheme="minorHAnsi"/>
          <w:b/>
          <w:sz w:val="21"/>
          <w:szCs w:val="21"/>
        </w:rPr>
        <w:t>vinte e nove mil, setecentos e oitenta e</w:t>
      </w:r>
      <w:proofErr w:type="gramEnd"/>
      <w:r w:rsidR="00BB3A73" w:rsidRPr="007922CE">
        <w:rPr>
          <w:rFonts w:asciiTheme="minorHAnsi" w:hAnsiTheme="minorHAnsi" w:cstheme="minorHAnsi"/>
          <w:b/>
          <w:sz w:val="21"/>
          <w:szCs w:val="21"/>
        </w:rPr>
        <w:t xml:space="preserve"> quatro reais</w:t>
      </w:r>
      <w:r w:rsidR="000345E7" w:rsidRPr="007922CE">
        <w:rPr>
          <w:rFonts w:asciiTheme="minorHAnsi" w:hAnsiTheme="minorHAnsi" w:cstheme="minorHAnsi"/>
          <w:b/>
          <w:sz w:val="21"/>
          <w:szCs w:val="21"/>
        </w:rPr>
        <w:t>)</w:t>
      </w:r>
      <w:r w:rsidR="009976D8" w:rsidRPr="007922CE">
        <w:rPr>
          <w:rFonts w:asciiTheme="minorHAnsi" w:hAnsiTheme="minorHAnsi" w:cstheme="minorHAnsi"/>
          <w:b/>
          <w:sz w:val="21"/>
          <w:szCs w:val="21"/>
        </w:rPr>
        <w:t>.</w:t>
      </w:r>
      <w:r w:rsidR="0071059F" w:rsidRPr="007922C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C6621" w:rsidRPr="007922CE" w:rsidRDefault="00CB06A6" w:rsidP="000C6621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>Fls. 109/112, consta despacho s/n, de 05/07/2017, de lavra do Superintendente de Regulação e Auditoria – SURAUD, Ricardo Lucas Albuquerque Rodrigues, juntado cópia da Ata de Reunião para fins de renegociação acerca de 49 (quarenta e nove) processos pendentes de pagamento, encaminhando a ASTEC para conhecimento e providências.</w:t>
      </w:r>
    </w:p>
    <w:p w:rsidR="00CB06A6" w:rsidRPr="007922CE" w:rsidRDefault="00CB06A6" w:rsidP="000C6621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>Fls. 114/116</w:t>
      </w:r>
      <w:r w:rsidR="001062FB" w:rsidRPr="007922CE">
        <w:rPr>
          <w:rFonts w:asciiTheme="minorHAnsi" w:hAnsiTheme="minorHAnsi" w:cstheme="minorHAnsi"/>
          <w:sz w:val="21"/>
          <w:szCs w:val="21"/>
        </w:rPr>
        <w:t xml:space="preserve"> </w:t>
      </w:r>
      <w:r w:rsidRPr="007922CE">
        <w:rPr>
          <w:rFonts w:asciiTheme="minorHAnsi" w:hAnsiTheme="minorHAnsi" w:cstheme="minorHAnsi"/>
          <w:sz w:val="21"/>
          <w:szCs w:val="21"/>
        </w:rPr>
        <w:t xml:space="preserve">consta nos documentos apensados aos autos, Certidões de Regularidade da </w:t>
      </w:r>
      <w:r w:rsidRPr="007922CE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7922CE">
        <w:rPr>
          <w:rFonts w:asciiTheme="minorHAnsi" w:hAnsiTheme="minorHAnsi" w:cstheme="minorHAnsi"/>
          <w:sz w:val="21"/>
          <w:szCs w:val="21"/>
        </w:rPr>
        <w:t xml:space="preserve"> (CNPJ nº 12.450.268/0001-04), vencidas.</w:t>
      </w:r>
    </w:p>
    <w:p w:rsidR="00CB06A6" w:rsidRPr="007922CE" w:rsidRDefault="00CB06A6" w:rsidP="000C6621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 xml:space="preserve">Fls. 117 consta informações </w:t>
      </w:r>
      <w:r w:rsidR="001062FB" w:rsidRPr="007922CE">
        <w:rPr>
          <w:rFonts w:asciiTheme="minorHAnsi" w:hAnsiTheme="minorHAnsi" w:cstheme="minorHAnsi"/>
          <w:sz w:val="21"/>
          <w:szCs w:val="21"/>
        </w:rPr>
        <w:t xml:space="preserve">prestadas pela Assessora Técnica, </w:t>
      </w:r>
      <w:proofErr w:type="spellStart"/>
      <w:r w:rsidR="001062FB" w:rsidRPr="007922CE">
        <w:rPr>
          <w:rFonts w:asciiTheme="minorHAnsi" w:hAnsiTheme="minorHAnsi" w:cstheme="minorHAnsi"/>
          <w:sz w:val="21"/>
          <w:szCs w:val="21"/>
        </w:rPr>
        <w:t>Geane</w:t>
      </w:r>
      <w:proofErr w:type="spellEnd"/>
      <w:r w:rsidR="001062FB" w:rsidRPr="007922CE">
        <w:rPr>
          <w:rFonts w:asciiTheme="minorHAnsi" w:hAnsiTheme="minorHAnsi" w:cstheme="minorHAnsi"/>
          <w:sz w:val="21"/>
          <w:szCs w:val="21"/>
        </w:rPr>
        <w:t xml:space="preserve"> Marinho da Silva Amorim, sobre a dotação orçamentária a ser utilizada para cobertura da despesa.</w:t>
      </w:r>
    </w:p>
    <w:p w:rsidR="001062FB" w:rsidRPr="007922CE" w:rsidRDefault="001062FB" w:rsidP="000C6621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22CE">
        <w:rPr>
          <w:rFonts w:asciiTheme="minorHAnsi" w:hAnsiTheme="minorHAnsi" w:cstheme="minorHAnsi"/>
          <w:sz w:val="21"/>
          <w:szCs w:val="21"/>
        </w:rPr>
        <w:t>Fls. 118 verifica-se Despacho S/N, datado de 03/08/2017, de lavra da Assessora Técnica do Setor de Contratos Maria do Carmo, onde informa a INEXISTÊNCIA de contrato referente ao objeto em comento</w:t>
      </w:r>
      <w:r w:rsidR="001D1981" w:rsidRPr="007922CE">
        <w:rPr>
          <w:rFonts w:asciiTheme="minorHAnsi" w:hAnsiTheme="minorHAnsi" w:cstheme="minorHAnsi"/>
          <w:sz w:val="21"/>
          <w:szCs w:val="21"/>
        </w:rPr>
        <w:t>.</w:t>
      </w:r>
    </w:p>
    <w:p w:rsidR="00F15425" w:rsidRPr="007922CE" w:rsidRDefault="001062FB" w:rsidP="000C6621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 xml:space="preserve">Fls. 121/122, consta </w:t>
      </w:r>
      <w:r w:rsidR="00F15425" w:rsidRPr="007922CE">
        <w:rPr>
          <w:rFonts w:asciiTheme="minorHAnsi" w:hAnsiTheme="minorHAnsi" w:cstheme="minorHAnsi"/>
          <w:b/>
          <w:sz w:val="21"/>
          <w:szCs w:val="21"/>
        </w:rPr>
        <w:t>Despacho PGE-PLIC nº 2057/2017</w:t>
      </w:r>
      <w:r w:rsidR="00F15425" w:rsidRPr="007922CE">
        <w:rPr>
          <w:rFonts w:asciiTheme="minorHAnsi" w:hAnsiTheme="minorHAnsi" w:cstheme="minorHAnsi"/>
          <w:sz w:val="21"/>
          <w:szCs w:val="21"/>
        </w:rPr>
        <w:t xml:space="preserve">, 17/08/2017, de emissão do Procurador de Estado Antonio Fontes Freitas Júnior, aprovado pelo </w:t>
      </w:r>
      <w:r w:rsidR="00F15425" w:rsidRPr="007922CE">
        <w:rPr>
          <w:rFonts w:asciiTheme="minorHAnsi" w:hAnsiTheme="minorHAnsi" w:cstheme="minorHAnsi"/>
          <w:b/>
          <w:sz w:val="21"/>
          <w:szCs w:val="21"/>
        </w:rPr>
        <w:t>Despacho PGE-PLIC-CD nº 2400/2017</w:t>
      </w:r>
      <w:r w:rsidR="00F15425" w:rsidRPr="007922CE">
        <w:rPr>
          <w:rFonts w:asciiTheme="minorHAnsi" w:hAnsiTheme="minorHAnsi" w:cstheme="minorHAnsi"/>
          <w:sz w:val="21"/>
          <w:szCs w:val="21"/>
        </w:rPr>
        <w:t xml:space="preserve">, 22/08/2017, de emissão da Coordenadora PGE/PLIC, </w:t>
      </w:r>
      <w:proofErr w:type="spellStart"/>
      <w:r w:rsidR="00F15425" w:rsidRPr="007922CE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="00F15425" w:rsidRPr="007922C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15425" w:rsidRPr="007922CE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="00F15425" w:rsidRPr="007922CE">
        <w:rPr>
          <w:rFonts w:asciiTheme="minorHAnsi" w:hAnsiTheme="minorHAnsi" w:cstheme="minorHAnsi"/>
          <w:sz w:val="21"/>
          <w:szCs w:val="21"/>
        </w:rPr>
        <w:t xml:space="preserve"> do Amaral, salienta que: </w:t>
      </w:r>
    </w:p>
    <w:p w:rsidR="00F15425" w:rsidRPr="000B7D07" w:rsidRDefault="00F15425" w:rsidP="00363F1A">
      <w:pPr>
        <w:pStyle w:val="SemEspaamento"/>
        <w:spacing w:line="360" w:lineRule="auto"/>
        <w:ind w:left="2520"/>
        <w:jc w:val="both"/>
        <w:rPr>
          <w:rFonts w:asciiTheme="minorHAnsi" w:hAnsiTheme="minorHAnsi" w:cstheme="minorHAnsi"/>
          <w:b/>
          <w:sz w:val="18"/>
          <w:szCs w:val="18"/>
        </w:rPr>
      </w:pPr>
      <w:r w:rsidRPr="000B7D07">
        <w:rPr>
          <w:rFonts w:asciiTheme="minorHAnsi" w:hAnsiTheme="minorHAnsi" w:cstheme="minorHAnsi"/>
          <w:b/>
          <w:sz w:val="18"/>
          <w:szCs w:val="18"/>
        </w:rPr>
        <w:t>Versam os presentes autos sobre a possibilidade de pagamento p</w:t>
      </w:r>
      <w:r w:rsidR="00C97A84" w:rsidRPr="000B7D07">
        <w:rPr>
          <w:rFonts w:asciiTheme="minorHAnsi" w:hAnsiTheme="minorHAnsi" w:cstheme="minorHAnsi"/>
          <w:b/>
          <w:sz w:val="18"/>
          <w:szCs w:val="18"/>
        </w:rPr>
        <w:t xml:space="preserve">or indenização em favor da empresa Associação </w:t>
      </w:r>
      <w:proofErr w:type="spellStart"/>
      <w:r w:rsidR="00C97A84" w:rsidRPr="000B7D07">
        <w:rPr>
          <w:rFonts w:asciiTheme="minorHAnsi" w:hAnsiTheme="minorHAnsi" w:cstheme="minorHAnsi"/>
          <w:b/>
          <w:sz w:val="18"/>
          <w:szCs w:val="18"/>
        </w:rPr>
        <w:t>Pestalozzi</w:t>
      </w:r>
      <w:proofErr w:type="spellEnd"/>
      <w:r w:rsidR="00C97A84" w:rsidRPr="000B7D07">
        <w:rPr>
          <w:rFonts w:asciiTheme="minorHAnsi" w:hAnsiTheme="minorHAnsi" w:cstheme="minorHAnsi"/>
          <w:b/>
          <w:sz w:val="18"/>
          <w:szCs w:val="18"/>
        </w:rPr>
        <w:t xml:space="preserve"> de Maceió, pela prestação dos serviços de atendimento médico domiciliar (HOME CARE), em abril do corrente ano, ao paciente JOSE WILLY CUELLAR PEDROZA JÚNIOR, em cumprimento a decisão judicial prolatada no processo judicial nº 0709343-86.2016.8.02.0001</w:t>
      </w:r>
      <w:r w:rsidRPr="000B7D07">
        <w:rPr>
          <w:rFonts w:asciiTheme="minorHAnsi" w:hAnsiTheme="minorHAnsi" w:cstheme="minorHAnsi"/>
          <w:b/>
          <w:sz w:val="18"/>
          <w:szCs w:val="18"/>
        </w:rPr>
        <w:t>.</w:t>
      </w:r>
    </w:p>
    <w:p w:rsidR="00B7375A" w:rsidRPr="007922CE" w:rsidRDefault="00CF0DA0" w:rsidP="000C6621">
      <w:pPr>
        <w:pStyle w:val="PargrafodaLista"/>
        <w:numPr>
          <w:ilvl w:val="0"/>
          <w:numId w:val="29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>À fl. 123</w:t>
      </w:r>
      <w:r w:rsidR="00B7375A" w:rsidRPr="007922CE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manifestação técnica.</w:t>
      </w:r>
    </w:p>
    <w:p w:rsidR="00B7375A" w:rsidRPr="007922CE" w:rsidRDefault="00B7375A" w:rsidP="00B737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922CE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CF0DA0" w:rsidRPr="007922C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7922C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F0DA0" w:rsidRPr="007922CE">
        <w:rPr>
          <w:rFonts w:asciiTheme="minorHAnsi" w:hAnsiTheme="minorHAnsi" w:cstheme="minorHAnsi"/>
          <w:b/>
          <w:bCs/>
          <w:sz w:val="21"/>
          <w:szCs w:val="21"/>
        </w:rPr>
        <w:t>008002</w:t>
      </w:r>
      <w:r w:rsidRPr="007922CE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7922CE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7922C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922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922C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922CE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7922CE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CF0DA0" w:rsidRPr="007922CE">
        <w:rPr>
          <w:rFonts w:asciiTheme="minorHAnsi" w:hAnsiTheme="minorHAnsi" w:cstheme="minorHAnsi"/>
          <w:sz w:val="21"/>
          <w:szCs w:val="21"/>
        </w:rPr>
        <w:t>123</w:t>
      </w:r>
      <w:r w:rsidRPr="007922CE">
        <w:rPr>
          <w:rFonts w:asciiTheme="minorHAnsi" w:hAnsiTheme="minorHAnsi" w:cstheme="minorHAnsi"/>
          <w:sz w:val="21"/>
          <w:szCs w:val="21"/>
        </w:rPr>
        <w:t>).</w:t>
      </w:r>
    </w:p>
    <w:p w:rsidR="00B7375A" w:rsidRPr="007922CE" w:rsidRDefault="00B7375A" w:rsidP="000C66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 xml:space="preserve">Não se verificam nos autos informações sobre as medidas adotadas pelo Estado de Alagoas no intuito de sanar a irregularidade verificada pela tomada dos serviços da </w:t>
      </w:r>
      <w:r w:rsidR="00CF0DA0" w:rsidRPr="007922CE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CF0DA0" w:rsidRPr="007922CE">
        <w:rPr>
          <w:rFonts w:asciiTheme="minorHAnsi" w:hAnsiTheme="minorHAnsi" w:cstheme="minorHAnsi"/>
          <w:b/>
          <w:bCs/>
          <w:sz w:val="21"/>
          <w:szCs w:val="21"/>
        </w:rPr>
        <w:t xml:space="preserve">ASSOCIAÇÃO PESTALOZZI </w:t>
      </w:r>
      <w:r w:rsidR="00CF0DA0" w:rsidRPr="007922CE">
        <w:rPr>
          <w:rFonts w:asciiTheme="minorHAnsi" w:hAnsiTheme="minorHAnsi" w:cstheme="minorHAnsi"/>
          <w:b/>
          <w:bCs/>
          <w:sz w:val="21"/>
          <w:szCs w:val="21"/>
        </w:rPr>
        <w:lastRenderedPageBreak/>
        <w:t>DE MACEIÓ</w:t>
      </w:r>
      <w:r w:rsidR="00CF0DA0" w:rsidRPr="007922CE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7922CE">
        <w:rPr>
          <w:rFonts w:asciiTheme="minorHAnsi" w:hAnsiTheme="minorHAnsi" w:cstheme="minorHAnsi"/>
          <w:sz w:val="21"/>
          <w:szCs w:val="21"/>
        </w:rPr>
        <w:t xml:space="preserve"> ante a inexistência de instrumento jurídico válido. Impende destacar que os autos </w:t>
      </w:r>
      <w:r w:rsidRPr="007922C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7922CE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Pr="007922CE">
        <w:rPr>
          <w:rFonts w:asciiTheme="minorHAnsi" w:hAnsiTheme="minorHAnsi" w:cstheme="minorHAnsi"/>
          <w:sz w:val="21"/>
          <w:szCs w:val="21"/>
        </w:rPr>
        <w:t xml:space="preserve"> não revelam informações sobre o trâmite de possível procedimento licitatório em andamen</w:t>
      </w:r>
      <w:r w:rsidR="00CF0DA0" w:rsidRPr="007922CE">
        <w:rPr>
          <w:rFonts w:asciiTheme="minorHAnsi" w:hAnsiTheme="minorHAnsi" w:cstheme="minorHAnsi"/>
          <w:sz w:val="21"/>
          <w:szCs w:val="21"/>
        </w:rPr>
        <w:t>to para contratação de serviços.</w:t>
      </w:r>
    </w:p>
    <w:p w:rsidR="004E7911" w:rsidRPr="007922CE" w:rsidRDefault="004E7911" w:rsidP="004E791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  <w:u w:val="single"/>
        </w:rPr>
        <w:t>DO CUMPRIMENTO DA NOTA TÉCNICA DA PGE/AL</w:t>
      </w:r>
      <w:r w:rsidRPr="007922C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7922C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Pr="007922C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7922C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7922CE">
        <w:rPr>
          <w:rFonts w:asciiTheme="minorHAnsi" w:hAnsiTheme="minorHAnsi" w:cstheme="minorHAnsi"/>
          <w:i/>
          <w:sz w:val="21"/>
          <w:szCs w:val="21"/>
        </w:rPr>
        <w:t>:</w:t>
      </w:r>
    </w:p>
    <w:p w:rsidR="004E7911" w:rsidRPr="007922CE" w:rsidRDefault="004E7911" w:rsidP="004E79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4E7911" w:rsidRPr="007922CE" w:rsidRDefault="004E7911" w:rsidP="004E79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</w:rPr>
        <w:t>a)</w:t>
      </w:r>
      <w:r w:rsidRPr="007922CE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4E7911" w:rsidRPr="007922CE" w:rsidRDefault="004E7911" w:rsidP="004E79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</w:rPr>
        <w:t>b)</w:t>
      </w:r>
      <w:r w:rsidRPr="007922CE">
        <w:rPr>
          <w:rFonts w:asciiTheme="minorHAnsi" w:hAnsiTheme="minorHAnsi" w:cstheme="minorHAnsi"/>
          <w:sz w:val="21"/>
          <w:szCs w:val="21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4E7911" w:rsidRPr="007922CE" w:rsidRDefault="004E7911" w:rsidP="004E79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</w:rPr>
        <w:t>c)</w:t>
      </w:r>
      <w:r w:rsidRPr="007922CE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4E7911" w:rsidRPr="007922CE" w:rsidRDefault="004E7911" w:rsidP="004E79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</w:rPr>
        <w:t>d)</w:t>
      </w:r>
      <w:r w:rsidRPr="007922CE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4E7911" w:rsidRPr="007922CE" w:rsidRDefault="004E7911" w:rsidP="004E79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</w:rPr>
        <w:t>e)</w:t>
      </w:r>
      <w:r w:rsidRPr="007922CE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4E7911" w:rsidRPr="007922CE" w:rsidRDefault="004E7911" w:rsidP="004E79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</w:rPr>
        <w:t>f)</w:t>
      </w:r>
      <w:r w:rsidRPr="007922CE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4E7911" w:rsidRPr="007922CE" w:rsidRDefault="004E7911" w:rsidP="004E79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</w:rPr>
        <w:t>g)</w:t>
      </w:r>
      <w:r w:rsidRPr="007922CE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4E7911" w:rsidRPr="007922CE" w:rsidRDefault="004E7911" w:rsidP="004E79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22CE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4E7911" w:rsidRPr="007922CE" w:rsidRDefault="004E7911" w:rsidP="004E79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</w:rPr>
        <w:t>i)</w:t>
      </w:r>
      <w:r w:rsidRPr="007922CE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4E7911" w:rsidRPr="007922CE" w:rsidRDefault="004E7911" w:rsidP="004E791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</w:t>
      </w:r>
      <w:r w:rsidRPr="007922C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922CE">
        <w:rPr>
          <w:rFonts w:asciiTheme="minorHAnsi" w:hAnsiTheme="minorHAnsi" w:cstheme="minorHAnsi"/>
          <w:sz w:val="21"/>
          <w:szCs w:val="21"/>
        </w:rPr>
        <w:t>alíneas “</w:t>
      </w:r>
      <w:r w:rsidRPr="007922CE">
        <w:rPr>
          <w:rFonts w:asciiTheme="minorHAnsi" w:hAnsiTheme="minorHAnsi" w:cstheme="minorHAnsi"/>
          <w:b/>
          <w:sz w:val="21"/>
          <w:szCs w:val="21"/>
        </w:rPr>
        <w:t xml:space="preserve">a”, “b”, “f” </w:t>
      </w:r>
      <w:r w:rsidRPr="007922CE">
        <w:rPr>
          <w:rFonts w:asciiTheme="minorHAnsi" w:hAnsiTheme="minorHAnsi" w:cstheme="minorHAnsi"/>
          <w:sz w:val="21"/>
          <w:szCs w:val="21"/>
        </w:rPr>
        <w:t>e</w:t>
      </w:r>
      <w:r w:rsidRPr="007922CE">
        <w:rPr>
          <w:rFonts w:asciiTheme="minorHAnsi" w:hAnsiTheme="minorHAnsi" w:cstheme="minorHAnsi"/>
          <w:b/>
          <w:sz w:val="21"/>
          <w:szCs w:val="21"/>
        </w:rPr>
        <w:t xml:space="preserve"> “g”</w:t>
      </w:r>
      <w:r w:rsidRPr="007922CE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das demais recomendações contidas na referida Nota Técnica alíneas </w:t>
      </w:r>
      <w:r w:rsidRPr="007922CE">
        <w:rPr>
          <w:rFonts w:asciiTheme="minorHAnsi" w:hAnsiTheme="minorHAnsi" w:cstheme="minorHAnsi"/>
          <w:b/>
          <w:sz w:val="21"/>
          <w:szCs w:val="21"/>
        </w:rPr>
        <w:t xml:space="preserve">“c”, “d”, </w:t>
      </w:r>
      <w:r w:rsidRPr="007922CE">
        <w:rPr>
          <w:rFonts w:asciiTheme="minorHAnsi" w:hAnsiTheme="minorHAnsi" w:cstheme="minorHAnsi"/>
          <w:sz w:val="21"/>
          <w:szCs w:val="21"/>
        </w:rPr>
        <w:t>e</w:t>
      </w:r>
      <w:r w:rsidRPr="007922CE">
        <w:rPr>
          <w:rFonts w:asciiTheme="minorHAnsi" w:hAnsiTheme="minorHAnsi" w:cstheme="minorHAnsi"/>
          <w:b/>
          <w:sz w:val="21"/>
          <w:szCs w:val="21"/>
        </w:rPr>
        <w:t xml:space="preserve"> “i”.</w:t>
      </w:r>
    </w:p>
    <w:p w:rsidR="00B7375A" w:rsidRPr="007922CE" w:rsidRDefault="00B7375A" w:rsidP="00B7375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7922C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922C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4E7911" w:rsidRPr="007922CE" w:rsidRDefault="004E7911" w:rsidP="004E791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  <w:u w:val="single"/>
        </w:rPr>
        <w:t>I. CUMPRIMENTO DAS RECOMENDAÇÕES APRESENTADAS PELA PGE/AL</w:t>
      </w:r>
      <w:r w:rsidRPr="007922CE">
        <w:rPr>
          <w:rFonts w:asciiTheme="minorHAnsi" w:hAnsiTheme="minorHAnsi" w:cstheme="minorHAnsi"/>
          <w:sz w:val="21"/>
          <w:szCs w:val="21"/>
        </w:rPr>
        <w:t xml:space="preserve"> –</w:t>
      </w:r>
      <w:r w:rsidRPr="007922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22CE">
        <w:rPr>
          <w:rFonts w:asciiTheme="minorHAnsi" w:hAnsiTheme="minorHAnsi" w:cstheme="minorHAnsi"/>
          <w:sz w:val="21"/>
          <w:szCs w:val="21"/>
        </w:rPr>
        <w:t xml:space="preserve">Que a SESAU demonstre o cumprimento das recomendações contidas na referida Nota Técnica alíneas </w:t>
      </w:r>
      <w:r w:rsidRPr="007922CE">
        <w:rPr>
          <w:rFonts w:asciiTheme="minorHAnsi" w:hAnsiTheme="minorHAnsi" w:cstheme="minorHAnsi"/>
          <w:b/>
          <w:sz w:val="21"/>
          <w:szCs w:val="21"/>
        </w:rPr>
        <w:t xml:space="preserve">“c”, “d”, </w:t>
      </w:r>
      <w:r w:rsidRPr="007922CE">
        <w:rPr>
          <w:rFonts w:asciiTheme="minorHAnsi" w:hAnsiTheme="minorHAnsi" w:cstheme="minorHAnsi"/>
          <w:sz w:val="21"/>
          <w:szCs w:val="21"/>
        </w:rPr>
        <w:t>e</w:t>
      </w:r>
      <w:r w:rsidRPr="007922CE">
        <w:rPr>
          <w:rFonts w:asciiTheme="minorHAnsi" w:hAnsiTheme="minorHAnsi" w:cstheme="minorHAnsi"/>
          <w:b/>
          <w:sz w:val="21"/>
          <w:szCs w:val="21"/>
        </w:rPr>
        <w:t xml:space="preserve"> “i”.</w:t>
      </w:r>
    </w:p>
    <w:p w:rsidR="00B7375A" w:rsidRPr="007922CE" w:rsidRDefault="004E7911" w:rsidP="00B7375A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22CE">
        <w:rPr>
          <w:rFonts w:asciiTheme="minorHAnsi" w:hAnsiTheme="minorHAnsi" w:cstheme="minorHAnsi"/>
          <w:b/>
          <w:sz w:val="21"/>
          <w:szCs w:val="21"/>
          <w:u w:val="single"/>
        </w:rPr>
        <w:t xml:space="preserve">II. </w:t>
      </w:r>
      <w:r w:rsidR="00B7375A" w:rsidRPr="007922C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="00B7375A" w:rsidRPr="007922CE">
        <w:rPr>
          <w:rFonts w:asciiTheme="minorHAnsi" w:hAnsiTheme="minorHAnsi" w:cstheme="minorHAnsi"/>
          <w:sz w:val="21"/>
          <w:szCs w:val="21"/>
        </w:rPr>
        <w:t xml:space="preserve"> -</w:t>
      </w:r>
      <w:r w:rsidR="00B7375A" w:rsidRPr="007922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7375A" w:rsidRPr="007922CE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="00B7375A" w:rsidRPr="007922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0DA0" w:rsidRPr="007922CE">
        <w:rPr>
          <w:rFonts w:asciiTheme="minorHAnsi" w:hAnsiTheme="minorHAnsi" w:cstheme="minorHAnsi"/>
          <w:b/>
          <w:sz w:val="21"/>
          <w:szCs w:val="21"/>
        </w:rPr>
        <w:t>R$29.784,00 (vinte e nove mil, setecentos e oitenta e quatro reais)</w:t>
      </w:r>
      <w:r w:rsidR="00B7375A" w:rsidRPr="007922CE">
        <w:rPr>
          <w:rFonts w:asciiTheme="minorHAnsi" w:hAnsiTheme="minorHAnsi" w:cstheme="minorHAnsi"/>
          <w:sz w:val="21"/>
          <w:szCs w:val="21"/>
        </w:rPr>
        <w:t>, sendo estes atos condicionados à efetiva realização da sindicância administrativa e Processo Administrativo Disciplinar, quando couber.</w:t>
      </w:r>
    </w:p>
    <w:p w:rsidR="00B7375A" w:rsidRPr="007922CE" w:rsidRDefault="004E7911" w:rsidP="00B7375A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  <w:u w:val="single"/>
        </w:rPr>
        <w:t xml:space="preserve">III. </w:t>
      </w:r>
      <w:r w:rsidR="00B7375A" w:rsidRPr="007922C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B7375A" w:rsidRPr="007922C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="00B7375A" w:rsidRPr="007922CE">
        <w:rPr>
          <w:rFonts w:asciiTheme="minorHAnsi" w:hAnsiTheme="minorHAnsi" w:cstheme="minorHAnsi"/>
          <w:b/>
          <w:sz w:val="21"/>
          <w:szCs w:val="21"/>
        </w:rPr>
        <w:t>sejam atualizadas</w:t>
      </w:r>
      <w:r w:rsidR="00B7375A" w:rsidRPr="007922CE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F7131C" w:rsidRPr="007922CE" w:rsidRDefault="004E7911" w:rsidP="00F443A9">
      <w:pPr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22CE">
        <w:rPr>
          <w:rFonts w:asciiTheme="minorHAnsi" w:hAnsiTheme="minorHAnsi" w:cstheme="minorHAnsi"/>
          <w:b/>
          <w:sz w:val="21"/>
          <w:szCs w:val="21"/>
          <w:u w:val="single"/>
        </w:rPr>
        <w:t xml:space="preserve">IV. </w:t>
      </w:r>
      <w:r w:rsidR="00F7131C" w:rsidRPr="007922CE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="00F7131C" w:rsidRPr="007922C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F7131C" w:rsidRPr="007922CE">
        <w:rPr>
          <w:rFonts w:asciiTheme="minorHAnsi" w:hAnsiTheme="minorHAnsi" w:cstheme="minorHAnsi"/>
          <w:sz w:val="21"/>
          <w:szCs w:val="21"/>
        </w:rPr>
        <w:t>Que seja juntada aos autos a nota fiscal pela prestação de serviços com o devido “ATESTO” pelo Servidor responsável.</w:t>
      </w:r>
    </w:p>
    <w:p w:rsidR="00F7131C" w:rsidRPr="007922CE" w:rsidRDefault="00F7131C" w:rsidP="00F7131C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 xml:space="preserve"> 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Pr="007922CE">
        <w:rPr>
          <w:rFonts w:asciiTheme="minorHAnsi" w:hAnsiTheme="minorHAnsi" w:cstheme="minorHAnsi"/>
          <w:b/>
          <w:sz w:val="21"/>
          <w:szCs w:val="21"/>
        </w:rPr>
        <w:t>“</w:t>
      </w:r>
      <w:r w:rsidR="004E7911" w:rsidRPr="007922CE">
        <w:rPr>
          <w:rFonts w:asciiTheme="minorHAnsi" w:hAnsiTheme="minorHAnsi" w:cstheme="minorHAnsi"/>
          <w:b/>
          <w:sz w:val="21"/>
          <w:szCs w:val="21"/>
        </w:rPr>
        <w:t>I</w:t>
      </w:r>
      <w:r w:rsidRPr="007922CE">
        <w:rPr>
          <w:rFonts w:asciiTheme="minorHAnsi" w:hAnsiTheme="minorHAnsi" w:cstheme="minorHAnsi"/>
          <w:b/>
          <w:sz w:val="21"/>
          <w:szCs w:val="21"/>
        </w:rPr>
        <w:t>”</w:t>
      </w:r>
      <w:r w:rsidR="004E7911" w:rsidRPr="007922CE">
        <w:rPr>
          <w:rFonts w:asciiTheme="minorHAnsi" w:hAnsiTheme="minorHAnsi" w:cstheme="minorHAnsi"/>
          <w:b/>
          <w:sz w:val="21"/>
          <w:szCs w:val="21"/>
        </w:rPr>
        <w:t xml:space="preserve"> a </w:t>
      </w:r>
      <w:r w:rsidRPr="007922CE">
        <w:rPr>
          <w:rFonts w:asciiTheme="minorHAnsi" w:hAnsiTheme="minorHAnsi" w:cstheme="minorHAnsi"/>
          <w:b/>
          <w:sz w:val="21"/>
          <w:szCs w:val="21"/>
        </w:rPr>
        <w:t>“</w:t>
      </w:r>
      <w:r w:rsidR="004E7911" w:rsidRPr="007922CE">
        <w:rPr>
          <w:rFonts w:asciiTheme="minorHAnsi" w:hAnsiTheme="minorHAnsi" w:cstheme="minorHAnsi"/>
          <w:b/>
          <w:sz w:val="21"/>
          <w:szCs w:val="21"/>
        </w:rPr>
        <w:t>IV</w:t>
      </w:r>
      <w:r w:rsidRPr="007922CE">
        <w:rPr>
          <w:rFonts w:asciiTheme="minorHAnsi" w:hAnsiTheme="minorHAnsi" w:cstheme="minorHAnsi"/>
          <w:b/>
          <w:sz w:val="21"/>
          <w:szCs w:val="21"/>
        </w:rPr>
        <w:t>”</w:t>
      </w:r>
      <w:r w:rsidR="004E7911" w:rsidRPr="007922CE">
        <w:rPr>
          <w:rFonts w:asciiTheme="minorHAnsi" w:hAnsiTheme="minorHAnsi" w:cstheme="minorHAnsi"/>
          <w:b/>
          <w:sz w:val="21"/>
          <w:szCs w:val="21"/>
        </w:rPr>
        <w:t>.</w:t>
      </w:r>
    </w:p>
    <w:p w:rsidR="00F7131C" w:rsidRPr="007922CE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7131C" w:rsidRPr="007922CE" w:rsidRDefault="00F443A9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922CE">
        <w:rPr>
          <w:rFonts w:asciiTheme="minorHAnsi" w:hAnsiTheme="minorHAnsi" w:cstheme="minorHAnsi"/>
          <w:bCs/>
          <w:sz w:val="21"/>
          <w:szCs w:val="21"/>
        </w:rPr>
        <w:t>Maceió, 08</w:t>
      </w:r>
      <w:r w:rsidR="00F7131C" w:rsidRPr="007922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7922CE">
        <w:rPr>
          <w:rFonts w:asciiTheme="minorHAnsi" w:hAnsiTheme="minorHAnsi" w:cstheme="minorHAnsi"/>
          <w:bCs/>
          <w:sz w:val="21"/>
          <w:szCs w:val="21"/>
        </w:rPr>
        <w:t>novembro</w:t>
      </w:r>
      <w:r w:rsidR="00F7131C" w:rsidRPr="007922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F7131C" w:rsidRPr="007922CE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7131C" w:rsidRPr="007922CE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922CE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F7131C" w:rsidRPr="007922CE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922CE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EB487F" w:rsidRPr="007922CE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>Acolho o Parecer.</w:t>
      </w:r>
    </w:p>
    <w:p w:rsidR="00EB487F" w:rsidRPr="007922CE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EB487F" w:rsidRPr="007922CE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7922C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922C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922C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922C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B00D2" w:rsidRPr="000C6621" w:rsidRDefault="00FB00D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581A61" w:rsidRPr="000C662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581A61" w:rsidRPr="000C662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581A61" w:rsidRPr="000C662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581A61" w:rsidRPr="000C662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581A61" w:rsidRPr="000C662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581A61" w:rsidRPr="000C662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581A61" w:rsidRPr="000C662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D07" w:rsidRDefault="000B7D07" w:rsidP="003068B9">
      <w:pPr>
        <w:spacing w:after="0" w:line="240" w:lineRule="auto"/>
      </w:pPr>
      <w:r>
        <w:separator/>
      </w:r>
    </w:p>
  </w:endnote>
  <w:endnote w:type="continuationSeparator" w:id="0">
    <w:p w:rsidR="000B7D07" w:rsidRDefault="000B7D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D07" w:rsidRDefault="000B7D07" w:rsidP="003068B9">
      <w:pPr>
        <w:spacing w:after="0" w:line="240" w:lineRule="auto"/>
      </w:pPr>
      <w:r>
        <w:separator/>
      </w:r>
    </w:p>
  </w:footnote>
  <w:footnote w:type="continuationSeparator" w:id="0">
    <w:p w:rsidR="000B7D07" w:rsidRDefault="000B7D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D07" w:rsidRDefault="000B7D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B7D07" w:rsidRPr="003068B9" w:rsidRDefault="000B7D0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B7D07" w:rsidRPr="0098367C" w:rsidRDefault="000B7D0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1958EE"/>
    <w:multiLevelType w:val="hybridMultilevel"/>
    <w:tmpl w:val="EC60D4D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4B75C0"/>
    <w:multiLevelType w:val="hybridMultilevel"/>
    <w:tmpl w:val="3E0E0C0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6">
    <w:nsid w:val="736B3256"/>
    <w:multiLevelType w:val="hybridMultilevel"/>
    <w:tmpl w:val="93FE2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1"/>
  </w:num>
  <w:num w:numId="13">
    <w:abstractNumId w:val="10"/>
  </w:num>
  <w:num w:numId="14">
    <w:abstractNumId w:val="6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3"/>
  </w:num>
  <w:num w:numId="23">
    <w:abstractNumId w:val="19"/>
  </w:num>
  <w:num w:numId="24">
    <w:abstractNumId w:val="7"/>
  </w:num>
  <w:num w:numId="25">
    <w:abstractNumId w:val="25"/>
  </w:num>
  <w:num w:numId="26">
    <w:abstractNumId w:val="11"/>
  </w:num>
  <w:num w:numId="27">
    <w:abstractNumId w:val="12"/>
  </w:num>
  <w:num w:numId="28">
    <w:abstractNumId w:val="18"/>
  </w:num>
  <w:num w:numId="29">
    <w:abstractNumId w:val="5"/>
  </w:num>
  <w:num w:numId="30">
    <w:abstractNumId w:val="26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5E7"/>
    <w:rsid w:val="00034C42"/>
    <w:rsid w:val="0003667E"/>
    <w:rsid w:val="00036DBB"/>
    <w:rsid w:val="000473B9"/>
    <w:rsid w:val="0005691E"/>
    <w:rsid w:val="00060209"/>
    <w:rsid w:val="00062E34"/>
    <w:rsid w:val="0006313E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B5629"/>
    <w:rsid w:val="000B7D07"/>
    <w:rsid w:val="000C2334"/>
    <w:rsid w:val="000C3D68"/>
    <w:rsid w:val="000C4411"/>
    <w:rsid w:val="000C658F"/>
    <w:rsid w:val="000C6621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1981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533"/>
    <w:rsid w:val="0035277A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7023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E7911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429A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2C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9324E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0DA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267E1"/>
    <w:rsid w:val="00F37CB6"/>
    <w:rsid w:val="00F4104B"/>
    <w:rsid w:val="00F410E0"/>
    <w:rsid w:val="00F43D0B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7CF5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F2977-ABC5-4F49-B98B-D7EB10E1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1441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2017-07-19T17:33:00Z</cp:lastPrinted>
  <dcterms:created xsi:type="dcterms:W3CDTF">2017-11-10T16:33:00Z</dcterms:created>
  <dcterms:modified xsi:type="dcterms:W3CDTF">2017-11-10T16:48:00Z</dcterms:modified>
</cp:coreProperties>
</file>