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8F5A7B">
        <w:rPr>
          <w:rFonts w:asciiTheme="minorHAnsi" w:hAnsiTheme="minorHAnsi" w:cstheme="minorHAnsi"/>
          <w:bCs/>
        </w:rPr>
        <w:t>016098</w:t>
      </w:r>
      <w:r w:rsidR="009D5FA0">
        <w:rPr>
          <w:rFonts w:asciiTheme="minorHAnsi" w:hAnsiTheme="minorHAnsi" w:cstheme="minorHAnsi"/>
          <w:bCs/>
        </w:rPr>
        <w:t>/2016 –</w:t>
      </w:r>
      <w:r w:rsidR="008F5A7B">
        <w:rPr>
          <w:rFonts w:asciiTheme="minorHAnsi" w:hAnsiTheme="minorHAnsi" w:cstheme="minorHAnsi"/>
          <w:bCs/>
        </w:rPr>
        <w:t xml:space="preserve"> 26/07/2016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ANUTENÇÃO DA MÁQUINA DE AUTOCLAVE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8F5A7B">
        <w:rPr>
          <w:rFonts w:asciiTheme="minorHAnsi" w:hAnsiTheme="minorHAnsi" w:cstheme="minorHAnsi"/>
          <w:bCs/>
        </w:rPr>
        <w:t>016098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7731A">
        <w:rPr>
          <w:rFonts w:asciiTheme="minorHAnsi" w:hAnsiTheme="minorHAnsi" w:cstheme="minorHAnsi"/>
        </w:rPr>
        <w:t>75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7731A">
        <w:rPr>
          <w:rFonts w:asciiTheme="minorHAnsi" w:hAnsiTheme="minorHAnsi" w:cstheme="minorHAnsi"/>
        </w:rPr>
        <w:t>setenta e cinco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7731A">
        <w:rPr>
          <w:rFonts w:asciiTheme="minorHAnsi" w:hAnsiTheme="minorHAnsi" w:cstheme="minorHAnsi"/>
          <w:b/>
        </w:rPr>
        <w:t>7.395,00 (sete mil trezentos e noventa e cinco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290F13">
        <w:rPr>
          <w:rFonts w:asciiTheme="minorHAnsi" w:hAnsiTheme="minorHAnsi" w:cstheme="minorHAnsi"/>
        </w:rPr>
        <w:t>18/07/2016</w:t>
      </w:r>
      <w:r w:rsidR="006A3457">
        <w:rPr>
          <w:rFonts w:asciiTheme="minorHAnsi" w:hAnsiTheme="minorHAnsi" w:cstheme="minorHAnsi"/>
        </w:rPr>
        <w:t>), termos de referência (</w:t>
      </w:r>
      <w:r w:rsidR="00290F13">
        <w:rPr>
          <w:rFonts w:asciiTheme="minorHAnsi" w:hAnsiTheme="minorHAnsi" w:cstheme="minorHAnsi"/>
        </w:rPr>
        <w:t>18/07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290F13">
        <w:rPr>
          <w:rFonts w:asciiTheme="minorHAnsi" w:hAnsiTheme="minorHAnsi" w:cstheme="minorHAnsi"/>
        </w:rPr>
        <w:t>as Santos de Souza (fls. 02 e 08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C5677">
        <w:rPr>
          <w:rFonts w:asciiTheme="minorHAnsi" w:hAnsiTheme="minorHAnsi" w:cstheme="minorHAnsi"/>
        </w:rPr>
        <w:t xml:space="preserve"> (fls. 28 e 29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9C5677">
        <w:rPr>
          <w:rFonts w:asciiTheme="minorHAnsi" w:hAnsiTheme="minorHAnsi" w:cstheme="minorHAnsi"/>
        </w:rPr>
        <w:t>, devidamente assinada (fls.48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9C5677">
        <w:rPr>
          <w:rFonts w:asciiTheme="minorHAnsi" w:hAnsiTheme="minorHAnsi" w:cstheme="minorHAnsi"/>
          <w:b/>
        </w:rPr>
        <w:t>2016NE22251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9C5677">
        <w:rPr>
          <w:rFonts w:asciiTheme="minorHAnsi" w:hAnsiTheme="minorHAnsi" w:cstheme="minorHAnsi"/>
        </w:rPr>
        <w:t>. 52/53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J. MARINHO DA SILVA ELETRÔNICA (CNPJ 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SOBRAL &amp; OLIVEIRA LTDA-GET GÁS (CNPJ 10.309.486/0001-06</w:t>
      </w:r>
    </w:p>
    <w:p w:rsidR="00290F13" w:rsidRPr="0017200A" w:rsidRDefault="00290F13" w:rsidP="009C56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Detectou-se que as propostas de preços (fls. 22/24) foram questionadas pela Controladoria Interna da SESAU, em virtude de descrição insuficiente nos itens 01 e 02 em relação ao Termo de Referência e por se encontrarem vencidas, que foram posteriormente substituídas (fls.36/38). Enfatize-se que a proposta de 21 de dezembro de 2016, da empresa </w:t>
      </w:r>
      <w:r w:rsidRPr="00D23705">
        <w:rPr>
          <w:rFonts w:asciiTheme="minorHAnsi" w:hAnsiTheme="minorHAnsi" w:cstheme="minorHAnsi"/>
          <w:b/>
        </w:rPr>
        <w:t>EDILZA VASCONCELOS DOS SANTOS – ME</w:t>
      </w:r>
      <w:r>
        <w:rPr>
          <w:rFonts w:asciiTheme="minorHAnsi" w:hAnsiTheme="minorHAnsi" w:cstheme="minorHAnsi"/>
        </w:rPr>
        <w:t xml:space="preserve"> encontra-se sem a devida assinatura</w:t>
      </w:r>
      <w:r w:rsidR="009C56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(fls.36</w:t>
      </w:r>
      <w:r w:rsidR="009C5677">
        <w:rPr>
          <w:rFonts w:asciiTheme="minorHAnsi" w:hAnsiTheme="minorHAnsi" w:cstheme="minorHAnsi"/>
        </w:rPr>
        <w:t>).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CA34EF" w:rsidRPr="00CA34EF">
        <w:rPr>
          <w:rFonts w:asciiTheme="minorHAnsi" w:hAnsiTheme="minorHAnsi" w:cstheme="minorHAnsi"/>
        </w:rPr>
        <w:t xml:space="preserve">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DB6D97">
        <w:rPr>
          <w:rFonts w:asciiTheme="minorHAnsi" w:hAnsiTheme="minorHAnsi" w:cstheme="minorHAnsi"/>
        </w:rPr>
        <w:t>58/61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B74C84">
        <w:rPr>
          <w:rFonts w:asciiTheme="minorHAnsi" w:hAnsiTheme="minorHAnsi" w:cstheme="minorHAnsi"/>
        </w:rPr>
        <w:t>62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B74C84">
        <w:rPr>
          <w:rFonts w:asciiTheme="minorHAnsi" w:hAnsiTheme="minorHAnsi" w:cstheme="minorHAnsi"/>
        </w:rPr>
        <w:t xml:space="preserve"> nº 484</w:t>
      </w:r>
      <w:r w:rsidR="00AD2BB7">
        <w:rPr>
          <w:rFonts w:asciiTheme="minorHAnsi" w:hAnsiTheme="minorHAnsi" w:cstheme="minorHAnsi"/>
        </w:rPr>
        <w:t>, da Empresa EDILZA VASCONCELOS DOS SANTOS</w:t>
      </w:r>
      <w:r w:rsidR="00B74C84">
        <w:rPr>
          <w:rFonts w:asciiTheme="minorHAnsi" w:hAnsiTheme="minorHAnsi" w:cstheme="minorHAnsi"/>
        </w:rPr>
        <w:t>-ME, datada de 17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AD2BB7">
        <w:rPr>
          <w:rFonts w:asciiTheme="minorHAnsi" w:hAnsiTheme="minorHAnsi" w:cstheme="minorHAnsi"/>
        </w:rPr>
        <w:t xml:space="preserve"> (fls. 85/87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B74C84">
        <w:rPr>
          <w:rFonts w:asciiTheme="minorHAnsi" w:hAnsiTheme="minorHAnsi" w:cstheme="minorHAnsi"/>
        </w:rPr>
        <w:t>as 71/73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74C84">
        <w:rPr>
          <w:rFonts w:asciiTheme="minorHAnsi" w:hAnsiTheme="minorHAnsi" w:cstheme="minorHAnsi"/>
          <w:b/>
        </w:rPr>
        <w:t>7.395,00 (sete mil, trezentos e noventa e cinco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Default="00DB69BD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74C84">
        <w:rPr>
          <w:rFonts w:asciiTheme="minorHAnsi" w:hAnsiTheme="minorHAnsi" w:cstheme="minorHAnsi"/>
          <w:b/>
        </w:rPr>
        <w:t>7.395,00 (sete mil, trezentos e noventa e cinco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B74C84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B74C84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B74C84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B74C84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Pr="0066048E" w:rsidRDefault="00B74C84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44982">
        <w:rPr>
          <w:rFonts w:asciiTheme="minorHAnsi" w:hAnsiTheme="minorHAnsi" w:cstheme="minorHAnsi"/>
          <w:bCs/>
        </w:rPr>
        <w:t>13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B74C84" w:rsidRDefault="00B74C8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623" w:rsidRDefault="00D93623" w:rsidP="003068B9">
      <w:pPr>
        <w:spacing w:after="0" w:line="240" w:lineRule="auto"/>
      </w:pPr>
      <w:r>
        <w:separator/>
      </w:r>
    </w:p>
  </w:endnote>
  <w:endnote w:type="continuationSeparator" w:id="1">
    <w:p w:rsidR="00D93623" w:rsidRDefault="00D936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623" w:rsidRDefault="00D93623" w:rsidP="003068B9">
      <w:pPr>
        <w:spacing w:after="0" w:line="240" w:lineRule="auto"/>
      </w:pPr>
      <w:r>
        <w:separator/>
      </w:r>
    </w:p>
  </w:footnote>
  <w:footnote w:type="continuationSeparator" w:id="1">
    <w:p w:rsidR="00D93623" w:rsidRDefault="00D936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2E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1449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2017-07-05T15:07:00Z</cp:lastPrinted>
  <dcterms:created xsi:type="dcterms:W3CDTF">2017-07-13T14:58:00Z</dcterms:created>
  <dcterms:modified xsi:type="dcterms:W3CDTF">2017-07-13T16:22:00Z</dcterms:modified>
</cp:coreProperties>
</file>