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4D" w:rsidRPr="00296225" w:rsidRDefault="00CB5B4D" w:rsidP="00296225">
      <w:pPr>
        <w:spacing w:after="0" w:line="240" w:lineRule="auto"/>
        <w:jc w:val="both"/>
        <w:rPr>
          <w:rFonts w:ascii="Arial" w:hAnsi="Arial" w:cs="Arial"/>
        </w:rPr>
      </w:pPr>
      <w:r w:rsidRPr="006E32C6">
        <w:rPr>
          <w:rFonts w:ascii="Arial" w:hAnsi="Arial" w:cs="Arial"/>
          <w:b/>
        </w:rPr>
        <w:t>Proces</w:t>
      </w:r>
      <w:r w:rsidRPr="00296225">
        <w:rPr>
          <w:rFonts w:ascii="Arial" w:hAnsi="Arial" w:cs="Arial"/>
          <w:b/>
        </w:rPr>
        <w:t>so nº</w:t>
      </w:r>
      <w:r w:rsidR="00A20739" w:rsidRPr="00296225">
        <w:rPr>
          <w:rFonts w:ascii="Arial" w:hAnsi="Arial" w:cs="Arial"/>
        </w:rPr>
        <w:t>: 2100-001070/2017</w:t>
      </w:r>
    </w:p>
    <w:p w:rsidR="00CB5B4D" w:rsidRPr="00296225" w:rsidRDefault="00CB5B4D" w:rsidP="00296225">
      <w:pPr>
        <w:spacing w:after="0" w:line="240" w:lineRule="auto"/>
        <w:jc w:val="both"/>
        <w:rPr>
          <w:rFonts w:ascii="Arial" w:hAnsi="Arial" w:cs="Arial"/>
        </w:rPr>
      </w:pPr>
      <w:r w:rsidRPr="00296225">
        <w:rPr>
          <w:rFonts w:ascii="Arial" w:hAnsi="Arial" w:cs="Arial"/>
          <w:b/>
        </w:rPr>
        <w:t>Interessado</w:t>
      </w:r>
      <w:r w:rsidR="00A20739" w:rsidRPr="00296225">
        <w:rPr>
          <w:rFonts w:ascii="Arial" w:hAnsi="Arial" w:cs="Arial"/>
        </w:rPr>
        <w:t xml:space="preserve">: </w:t>
      </w:r>
      <w:r w:rsidR="00B77580" w:rsidRPr="00296225">
        <w:rPr>
          <w:rFonts w:ascii="Arial" w:hAnsi="Arial" w:cs="Arial"/>
        </w:rPr>
        <w:t xml:space="preserve">Secretaria de Estado da Segurança Pública - </w:t>
      </w:r>
      <w:r w:rsidR="00A20739" w:rsidRPr="00296225">
        <w:rPr>
          <w:rFonts w:ascii="Arial" w:hAnsi="Arial" w:cs="Arial"/>
        </w:rPr>
        <w:t>SSP- Chefia Especial de Procedimentos Licitatórios</w:t>
      </w:r>
      <w:r w:rsidRPr="00296225">
        <w:rPr>
          <w:rFonts w:ascii="Arial" w:hAnsi="Arial" w:cs="Arial"/>
        </w:rPr>
        <w:t>.</w:t>
      </w:r>
    </w:p>
    <w:p w:rsidR="00A20739" w:rsidRPr="00296225" w:rsidRDefault="00CB5B4D" w:rsidP="00296225">
      <w:pPr>
        <w:spacing w:after="0" w:line="240" w:lineRule="auto"/>
        <w:jc w:val="both"/>
        <w:rPr>
          <w:rFonts w:ascii="Arial" w:hAnsi="Arial" w:cs="Arial"/>
        </w:rPr>
      </w:pPr>
      <w:r w:rsidRPr="00296225">
        <w:rPr>
          <w:rFonts w:ascii="Arial" w:hAnsi="Arial" w:cs="Arial"/>
          <w:b/>
        </w:rPr>
        <w:t>Assunto</w:t>
      </w:r>
      <w:r w:rsidR="00A20739" w:rsidRPr="00296225">
        <w:rPr>
          <w:rFonts w:ascii="Arial" w:hAnsi="Arial" w:cs="Arial"/>
        </w:rPr>
        <w:t xml:space="preserve">: </w:t>
      </w:r>
      <w:r w:rsidRPr="00296225">
        <w:rPr>
          <w:rFonts w:ascii="Arial" w:hAnsi="Arial" w:cs="Arial"/>
        </w:rPr>
        <w:t>Adiantamento.</w:t>
      </w:r>
    </w:p>
    <w:p w:rsidR="00CB5B4D" w:rsidRPr="00296225" w:rsidRDefault="00A20739" w:rsidP="00296225">
      <w:pPr>
        <w:spacing w:after="0" w:line="240" w:lineRule="auto"/>
        <w:jc w:val="both"/>
        <w:rPr>
          <w:rFonts w:ascii="Arial" w:hAnsi="Arial" w:cs="Arial"/>
        </w:rPr>
      </w:pPr>
      <w:r w:rsidRPr="00296225">
        <w:rPr>
          <w:rFonts w:ascii="Arial" w:hAnsi="Arial" w:cs="Arial"/>
          <w:b/>
        </w:rPr>
        <w:t>Detalhes</w:t>
      </w:r>
      <w:r w:rsidR="00E418EF" w:rsidRPr="00296225">
        <w:rPr>
          <w:rFonts w:ascii="Arial" w:hAnsi="Arial" w:cs="Arial"/>
        </w:rPr>
        <w:t>:</w:t>
      </w:r>
      <w:r w:rsidR="00CB5B4D" w:rsidRPr="00296225">
        <w:rPr>
          <w:rFonts w:ascii="Arial" w:hAnsi="Arial" w:cs="Arial"/>
        </w:rPr>
        <w:t xml:space="preserve"> </w:t>
      </w:r>
      <w:r w:rsidRPr="00296225">
        <w:rPr>
          <w:rFonts w:ascii="Arial" w:hAnsi="Arial" w:cs="Arial"/>
        </w:rPr>
        <w:t>Prestação de Contas Adiantamento de Numerário.</w:t>
      </w:r>
    </w:p>
    <w:p w:rsidR="0019091F" w:rsidRDefault="0019091F" w:rsidP="0029622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10B05" w:rsidRDefault="00A10B05" w:rsidP="0029622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1 – DOS FATOS </w:t>
      </w:r>
    </w:p>
    <w:p w:rsidR="00A10B05" w:rsidRPr="00296225" w:rsidRDefault="00A10B05" w:rsidP="0029622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E268B" w:rsidRPr="00911055" w:rsidRDefault="00CB5B4D" w:rsidP="00296225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296225">
        <w:rPr>
          <w:rFonts w:ascii="Arial" w:hAnsi="Arial" w:cs="Arial"/>
        </w:rPr>
        <w:t>Trata-se os autos d</w:t>
      </w:r>
      <w:r w:rsidR="0016173B" w:rsidRPr="00296225">
        <w:rPr>
          <w:rFonts w:ascii="Arial" w:hAnsi="Arial" w:cs="Arial"/>
        </w:rPr>
        <w:t xml:space="preserve">o </w:t>
      </w:r>
      <w:r w:rsidR="0016173B" w:rsidRPr="00911055">
        <w:rPr>
          <w:rFonts w:ascii="Arial" w:hAnsi="Arial" w:cs="Arial"/>
        </w:rPr>
        <w:t>Processo Administrativo em tela</w:t>
      </w:r>
      <w:r w:rsidR="00433D55" w:rsidRPr="00911055">
        <w:rPr>
          <w:rFonts w:ascii="Arial" w:hAnsi="Arial" w:cs="Arial"/>
        </w:rPr>
        <w:t>, em volume único, com</w:t>
      </w:r>
      <w:r w:rsidR="00BE3875" w:rsidRPr="00911055">
        <w:rPr>
          <w:rFonts w:ascii="Arial" w:hAnsi="Arial" w:cs="Arial"/>
        </w:rPr>
        <w:t xml:space="preserve"> 40</w:t>
      </w:r>
      <w:r w:rsidR="00EE268B" w:rsidRPr="00911055">
        <w:rPr>
          <w:rFonts w:ascii="Arial" w:hAnsi="Arial" w:cs="Arial"/>
        </w:rPr>
        <w:t xml:space="preserve"> folhas</w:t>
      </w:r>
      <w:r w:rsidR="00B57EA9" w:rsidRPr="00911055">
        <w:rPr>
          <w:rFonts w:ascii="Arial" w:hAnsi="Arial" w:cs="Arial"/>
        </w:rPr>
        <w:t xml:space="preserve">, referente à </w:t>
      </w:r>
      <w:r w:rsidRPr="00911055">
        <w:rPr>
          <w:rFonts w:ascii="Arial" w:hAnsi="Arial" w:cs="Arial"/>
        </w:rPr>
        <w:t>Prestação de Contas de Adiantamento</w:t>
      </w:r>
      <w:r w:rsidR="00EE527A" w:rsidRPr="00911055">
        <w:rPr>
          <w:rFonts w:ascii="Arial" w:hAnsi="Arial" w:cs="Arial"/>
        </w:rPr>
        <w:t xml:space="preserve">, </w:t>
      </w:r>
      <w:r w:rsidR="0087500B" w:rsidRPr="00911055">
        <w:rPr>
          <w:rFonts w:ascii="Arial" w:hAnsi="Arial" w:cs="Arial"/>
        </w:rPr>
        <w:t xml:space="preserve"> no valor de  </w:t>
      </w:r>
      <w:r w:rsidR="006E32C6" w:rsidRPr="00911055">
        <w:rPr>
          <w:rFonts w:ascii="Arial" w:hAnsi="Arial" w:cs="Arial"/>
        </w:rPr>
        <w:t xml:space="preserve">     </w:t>
      </w:r>
      <w:r w:rsidR="009A1B5D" w:rsidRPr="00911055">
        <w:rPr>
          <w:rFonts w:ascii="Arial" w:hAnsi="Arial" w:cs="Arial"/>
        </w:rPr>
        <w:t xml:space="preserve">                 </w:t>
      </w:r>
      <w:r w:rsidR="0087500B" w:rsidRPr="00911055">
        <w:rPr>
          <w:rFonts w:ascii="Arial" w:hAnsi="Arial" w:cs="Arial"/>
        </w:rPr>
        <w:t>R$ 2.000,00 (dois mil reais)</w:t>
      </w:r>
      <w:r w:rsidR="00EE268B" w:rsidRPr="00911055">
        <w:rPr>
          <w:rFonts w:ascii="Arial" w:hAnsi="Arial" w:cs="Arial"/>
        </w:rPr>
        <w:t>, concedido</w:t>
      </w:r>
      <w:r w:rsidR="0087500B" w:rsidRPr="00911055">
        <w:rPr>
          <w:rFonts w:ascii="Arial" w:hAnsi="Arial" w:cs="Arial"/>
        </w:rPr>
        <w:t xml:space="preserve"> em favor da servidora Maria Izabel de Oliveira Viana, conforme </w:t>
      </w:r>
      <w:r w:rsidR="009A1B5D" w:rsidRPr="00911055">
        <w:rPr>
          <w:rFonts w:ascii="Arial" w:hAnsi="Arial" w:cs="Arial"/>
        </w:rPr>
        <w:t>do Memo. nº 087</w:t>
      </w:r>
      <w:r w:rsidR="00EE268B" w:rsidRPr="00911055">
        <w:rPr>
          <w:rFonts w:ascii="Arial" w:hAnsi="Arial" w:cs="Arial"/>
        </w:rPr>
        <w:t>/CHEPL/2017, datado de 04</w:t>
      </w:r>
      <w:r w:rsidR="0087500B" w:rsidRPr="00911055">
        <w:rPr>
          <w:rFonts w:ascii="Arial" w:hAnsi="Arial" w:cs="Arial"/>
        </w:rPr>
        <w:t>/04/</w:t>
      </w:r>
      <w:r w:rsidR="00EE268B" w:rsidRPr="00911055">
        <w:rPr>
          <w:rFonts w:ascii="Arial" w:hAnsi="Arial" w:cs="Arial"/>
        </w:rPr>
        <w:t xml:space="preserve">2017, com o objetivo para atender demandas emergências, visando suprir as necessidades imediatas e de suma importância  do setor de Comissão Permanente de Licitação. </w:t>
      </w:r>
    </w:p>
    <w:p w:rsidR="00EE268B" w:rsidRPr="00911055" w:rsidRDefault="00EE268B" w:rsidP="00296225">
      <w:pPr>
        <w:pStyle w:val="SemEspaamento"/>
        <w:ind w:right="-1"/>
        <w:jc w:val="both"/>
        <w:rPr>
          <w:rFonts w:ascii="Arial" w:hAnsi="Arial" w:cs="Arial"/>
        </w:rPr>
      </w:pPr>
    </w:p>
    <w:p w:rsidR="00645319" w:rsidRPr="00296225" w:rsidRDefault="00817552" w:rsidP="00296225">
      <w:pPr>
        <w:pStyle w:val="SemEspaamento"/>
        <w:ind w:right="-1" w:firstLine="709"/>
        <w:jc w:val="both"/>
        <w:rPr>
          <w:rFonts w:ascii="Arial" w:hAnsi="Arial" w:cs="Arial"/>
        </w:rPr>
      </w:pPr>
      <w:r w:rsidRPr="00911055">
        <w:rPr>
          <w:rFonts w:ascii="Arial" w:hAnsi="Arial" w:cs="Arial"/>
        </w:rPr>
        <w:t xml:space="preserve"> </w:t>
      </w:r>
      <w:r w:rsidR="00433D55" w:rsidRPr="00911055">
        <w:rPr>
          <w:rFonts w:ascii="Arial" w:hAnsi="Arial" w:cs="Arial"/>
        </w:rPr>
        <w:t xml:space="preserve">Os autos </w:t>
      </w:r>
      <w:r w:rsidR="00A10B05" w:rsidRPr="00911055">
        <w:rPr>
          <w:rFonts w:ascii="Arial" w:hAnsi="Arial" w:cs="Arial"/>
        </w:rPr>
        <w:t xml:space="preserve">do processo </w:t>
      </w:r>
      <w:r w:rsidR="00433D55" w:rsidRPr="00911055">
        <w:rPr>
          <w:rFonts w:ascii="Arial" w:hAnsi="Arial" w:cs="Arial"/>
        </w:rPr>
        <w:t>foram encaminhados a esta Controladoria Geral do Estado – CGE c</w:t>
      </w:r>
      <w:r w:rsidR="007638EF" w:rsidRPr="00911055">
        <w:rPr>
          <w:rFonts w:ascii="Arial" w:hAnsi="Arial" w:cs="Arial"/>
        </w:rPr>
        <w:t>onforme</w:t>
      </w:r>
      <w:r w:rsidR="00657564" w:rsidRPr="00911055">
        <w:rPr>
          <w:rFonts w:ascii="Arial" w:hAnsi="Arial" w:cs="Arial"/>
        </w:rPr>
        <w:t xml:space="preserve"> Despacho GSEF nº 4061/2017,</w:t>
      </w:r>
      <w:r w:rsidR="005B2BE8" w:rsidRPr="00911055">
        <w:rPr>
          <w:rFonts w:ascii="Arial" w:hAnsi="Arial" w:cs="Arial"/>
        </w:rPr>
        <w:t xml:space="preserve"> à fl.39,</w:t>
      </w:r>
      <w:r w:rsidR="001B1388" w:rsidRPr="00911055">
        <w:rPr>
          <w:rFonts w:ascii="Arial" w:hAnsi="Arial" w:cs="Arial"/>
        </w:rPr>
        <w:t xml:space="preserve"> </w:t>
      </w:r>
      <w:r w:rsidR="00657564" w:rsidRPr="00911055">
        <w:rPr>
          <w:rFonts w:ascii="Arial" w:hAnsi="Arial" w:cs="Arial"/>
        </w:rPr>
        <w:t>da lavra da Secretária Especial d</w:t>
      </w:r>
      <w:r w:rsidR="005B2BE8" w:rsidRPr="00911055">
        <w:rPr>
          <w:rFonts w:ascii="Arial" w:hAnsi="Arial" w:cs="Arial"/>
        </w:rPr>
        <w:t xml:space="preserve">o Tesouro Estadual </w:t>
      </w:r>
      <w:r w:rsidR="00657564" w:rsidRPr="00911055">
        <w:rPr>
          <w:rFonts w:ascii="Arial" w:hAnsi="Arial" w:cs="Arial"/>
        </w:rPr>
        <w:t>da Secretaria da Fazenda – SEFAZ</w:t>
      </w:r>
      <w:r w:rsidR="00645319" w:rsidRPr="00911055">
        <w:rPr>
          <w:rFonts w:ascii="Arial" w:hAnsi="Arial" w:cs="Arial"/>
        </w:rPr>
        <w:t xml:space="preserve">, </w:t>
      </w:r>
      <w:r w:rsidR="00DF69DE" w:rsidRPr="00911055">
        <w:rPr>
          <w:rFonts w:ascii="Arial" w:hAnsi="Arial" w:cs="Arial"/>
        </w:rPr>
        <w:t>considerado que a matéria</w:t>
      </w:r>
      <w:r w:rsidR="00814D20" w:rsidRPr="00911055">
        <w:rPr>
          <w:rFonts w:ascii="Arial" w:hAnsi="Arial" w:cs="Arial"/>
        </w:rPr>
        <w:t xml:space="preserve">, </w:t>
      </w:r>
      <w:r w:rsidR="00DF69DE" w:rsidRPr="00911055">
        <w:rPr>
          <w:rFonts w:ascii="Arial" w:hAnsi="Arial" w:cs="Arial"/>
        </w:rPr>
        <w:t xml:space="preserve">não trata-se da </w:t>
      </w:r>
      <w:r w:rsidR="00814D20" w:rsidRPr="00911055">
        <w:rPr>
          <w:rFonts w:ascii="Arial" w:hAnsi="Arial" w:cs="Arial"/>
        </w:rPr>
        <w:t xml:space="preserve">sua </w:t>
      </w:r>
      <w:r w:rsidR="00DF69DE" w:rsidRPr="00911055">
        <w:rPr>
          <w:rFonts w:ascii="Arial" w:hAnsi="Arial" w:cs="Arial"/>
        </w:rPr>
        <w:t>competência</w:t>
      </w:r>
      <w:r w:rsidR="001B1388" w:rsidRPr="00911055">
        <w:rPr>
          <w:rFonts w:ascii="Arial" w:hAnsi="Arial" w:cs="Arial"/>
        </w:rPr>
        <w:t xml:space="preserve">, </w:t>
      </w:r>
      <w:r w:rsidR="00B77580" w:rsidRPr="00911055">
        <w:rPr>
          <w:rFonts w:ascii="Arial" w:hAnsi="Arial" w:cs="Arial"/>
        </w:rPr>
        <w:t>para análise</w:t>
      </w:r>
      <w:r w:rsidRPr="00911055">
        <w:rPr>
          <w:rFonts w:ascii="Arial" w:hAnsi="Arial" w:cs="Arial"/>
        </w:rPr>
        <w:t xml:space="preserve"> </w:t>
      </w:r>
      <w:r w:rsidR="00AF123F" w:rsidRPr="00911055">
        <w:rPr>
          <w:rFonts w:ascii="Arial" w:hAnsi="Arial" w:cs="Arial"/>
        </w:rPr>
        <w:t xml:space="preserve">e providencias </w:t>
      </w:r>
      <w:r w:rsidR="00B77580" w:rsidRPr="00911055">
        <w:rPr>
          <w:rFonts w:ascii="Arial" w:hAnsi="Arial" w:cs="Arial"/>
        </w:rPr>
        <w:t xml:space="preserve">necessárias </w:t>
      </w:r>
      <w:r w:rsidR="005B2BE8" w:rsidRPr="00911055">
        <w:rPr>
          <w:rFonts w:ascii="Arial" w:hAnsi="Arial" w:cs="Arial"/>
        </w:rPr>
        <w:t xml:space="preserve">para atendimento do </w:t>
      </w:r>
      <w:r w:rsidR="00B77580" w:rsidRPr="00911055">
        <w:rPr>
          <w:rFonts w:ascii="Arial" w:hAnsi="Arial" w:cs="Arial"/>
        </w:rPr>
        <w:t>pleito</w:t>
      </w:r>
      <w:r w:rsidR="00D95644" w:rsidRPr="00911055">
        <w:rPr>
          <w:rFonts w:ascii="Arial" w:hAnsi="Arial" w:cs="Arial"/>
        </w:rPr>
        <w:t xml:space="preserve"> </w:t>
      </w:r>
      <w:r w:rsidR="00814D20" w:rsidRPr="00911055">
        <w:rPr>
          <w:rFonts w:ascii="Arial" w:hAnsi="Arial" w:cs="Arial"/>
        </w:rPr>
        <w:t>em obediência aos Decretos Estaduais nº 37.119/97 e 37.143/97</w:t>
      </w:r>
      <w:r w:rsidR="00D95644" w:rsidRPr="00911055">
        <w:rPr>
          <w:rFonts w:ascii="Arial" w:hAnsi="Arial" w:cs="Arial"/>
        </w:rPr>
        <w:t>, referente</w:t>
      </w:r>
      <w:r w:rsidR="005709EB" w:rsidRPr="00911055">
        <w:rPr>
          <w:rFonts w:ascii="Arial" w:hAnsi="Arial" w:cs="Arial"/>
        </w:rPr>
        <w:t>s</w:t>
      </w:r>
      <w:r w:rsidR="00D95644" w:rsidRPr="00911055">
        <w:rPr>
          <w:rFonts w:ascii="Arial" w:hAnsi="Arial" w:cs="Arial"/>
        </w:rPr>
        <w:t xml:space="preserve"> a</w:t>
      </w:r>
      <w:r w:rsidR="005709EB" w:rsidRPr="00911055">
        <w:rPr>
          <w:rFonts w:ascii="Arial" w:hAnsi="Arial" w:cs="Arial"/>
        </w:rPr>
        <w:t>s</w:t>
      </w:r>
      <w:r w:rsidR="00D95644" w:rsidRPr="00911055">
        <w:rPr>
          <w:rFonts w:ascii="Arial" w:hAnsi="Arial" w:cs="Arial"/>
        </w:rPr>
        <w:t xml:space="preserve"> </w:t>
      </w:r>
      <w:r w:rsidR="006573A8" w:rsidRPr="00911055">
        <w:rPr>
          <w:rFonts w:ascii="Arial" w:hAnsi="Arial" w:cs="Arial"/>
        </w:rPr>
        <w:t xml:space="preserve">aquisições de </w:t>
      </w:r>
      <w:r w:rsidR="00263324" w:rsidRPr="00911055">
        <w:rPr>
          <w:rFonts w:ascii="Arial" w:hAnsi="Arial" w:cs="Arial"/>
        </w:rPr>
        <w:t>disco rígido</w:t>
      </w:r>
      <w:r w:rsidR="00263324">
        <w:rPr>
          <w:rFonts w:ascii="Arial" w:hAnsi="Arial" w:cs="Arial"/>
        </w:rPr>
        <w:t xml:space="preserve"> externo </w:t>
      </w:r>
      <w:r w:rsidR="00263324" w:rsidRPr="00263324">
        <w:rPr>
          <w:rFonts w:ascii="Arial" w:hAnsi="Arial" w:cs="Arial"/>
        </w:rPr>
        <w:t>(</w:t>
      </w:r>
      <w:r w:rsidR="006573A8" w:rsidRPr="00263324">
        <w:rPr>
          <w:rFonts w:ascii="Arial" w:hAnsi="Arial" w:cs="Arial"/>
        </w:rPr>
        <w:t>HD externo</w:t>
      </w:r>
      <w:r w:rsidR="00263324" w:rsidRPr="00263324">
        <w:rPr>
          <w:rFonts w:ascii="Arial" w:hAnsi="Arial" w:cs="Arial"/>
        </w:rPr>
        <w:t>)</w:t>
      </w:r>
      <w:r w:rsidR="00D95644" w:rsidRPr="00263324">
        <w:rPr>
          <w:rFonts w:ascii="Arial" w:hAnsi="Arial" w:cs="Arial"/>
        </w:rPr>
        <w:t>,</w:t>
      </w:r>
      <w:r w:rsidR="00D95644">
        <w:rPr>
          <w:rFonts w:ascii="Arial" w:hAnsi="Arial" w:cs="Arial"/>
        </w:rPr>
        <w:t xml:space="preserve"> </w:t>
      </w:r>
      <w:r w:rsidR="006573A8" w:rsidRPr="00296225">
        <w:rPr>
          <w:rFonts w:ascii="Arial" w:hAnsi="Arial" w:cs="Arial"/>
        </w:rPr>
        <w:t>com recursos de adiantamento de numerários.</w:t>
      </w:r>
    </w:p>
    <w:p w:rsidR="00A10B05" w:rsidRDefault="00A10B05" w:rsidP="00296225">
      <w:pPr>
        <w:pStyle w:val="SemEspaamento"/>
        <w:ind w:right="-1" w:firstLine="709"/>
        <w:jc w:val="both"/>
        <w:rPr>
          <w:rFonts w:ascii="Arial" w:hAnsi="Arial" w:cs="Arial"/>
        </w:rPr>
      </w:pPr>
    </w:p>
    <w:p w:rsidR="00CB5B4D" w:rsidRPr="00296225" w:rsidRDefault="00CB5B4D" w:rsidP="00296225">
      <w:pPr>
        <w:pStyle w:val="SemEspaamento"/>
        <w:ind w:right="-1" w:firstLine="709"/>
        <w:jc w:val="both"/>
        <w:rPr>
          <w:rFonts w:ascii="Arial" w:hAnsi="Arial" w:cs="Arial"/>
        </w:rPr>
      </w:pPr>
      <w:r w:rsidRPr="00296225">
        <w:rPr>
          <w:rFonts w:ascii="Arial" w:hAnsi="Arial" w:cs="Arial"/>
        </w:rPr>
        <w:t>Atendendo-se à solicitação, confere-se que o presente Processo Administrativo foi instruído como seguem:</w:t>
      </w:r>
    </w:p>
    <w:p w:rsidR="00CB5B4D" w:rsidRPr="00296225" w:rsidRDefault="00CB5B4D" w:rsidP="00296225">
      <w:pPr>
        <w:pStyle w:val="SemEspaamento"/>
        <w:ind w:right="-1" w:firstLine="709"/>
        <w:jc w:val="both"/>
        <w:rPr>
          <w:rFonts w:ascii="Arial" w:hAnsi="Arial" w:cs="Arial"/>
        </w:rPr>
      </w:pPr>
    </w:p>
    <w:p w:rsidR="00CB5B4D" w:rsidRPr="00911055" w:rsidRDefault="00412AB0" w:rsidP="00296225">
      <w:pPr>
        <w:pStyle w:val="SemEspaamento"/>
        <w:numPr>
          <w:ilvl w:val="0"/>
          <w:numId w:val="1"/>
        </w:numPr>
        <w:ind w:left="1134" w:righ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="00CB5B4D" w:rsidRPr="00296225">
        <w:rPr>
          <w:rFonts w:ascii="Arial" w:hAnsi="Arial" w:cs="Arial"/>
        </w:rPr>
        <w:t>. 02, observa-se que o pro</w:t>
      </w:r>
      <w:r w:rsidR="00076FF4" w:rsidRPr="00296225">
        <w:rPr>
          <w:rFonts w:ascii="Arial" w:hAnsi="Arial" w:cs="Arial"/>
        </w:rPr>
        <w:t>cesso inicia com Memo nº 087</w:t>
      </w:r>
      <w:r w:rsidR="00CB5B4D" w:rsidRPr="00296225">
        <w:rPr>
          <w:rFonts w:ascii="Arial" w:hAnsi="Arial" w:cs="Arial"/>
        </w:rPr>
        <w:t>/</w:t>
      </w:r>
      <w:r w:rsidR="00076FF4" w:rsidRPr="00296225">
        <w:rPr>
          <w:rFonts w:ascii="Arial" w:hAnsi="Arial" w:cs="Arial"/>
        </w:rPr>
        <w:t>CHEPL/2017, datado de 05/06/2017</w:t>
      </w:r>
      <w:r w:rsidR="00CB5B4D" w:rsidRPr="00296225">
        <w:rPr>
          <w:rFonts w:ascii="Arial" w:hAnsi="Arial" w:cs="Arial"/>
        </w:rPr>
        <w:t>, da lavra d</w:t>
      </w:r>
      <w:r w:rsidR="00076FF4" w:rsidRPr="00296225">
        <w:rPr>
          <w:rFonts w:ascii="Arial" w:hAnsi="Arial" w:cs="Arial"/>
        </w:rPr>
        <w:t xml:space="preserve">o Sr. Washington Luiz Costa Junior – Presidente da Comissão </w:t>
      </w:r>
      <w:r w:rsidR="00076FF4" w:rsidRPr="00911055">
        <w:rPr>
          <w:rFonts w:ascii="Arial" w:hAnsi="Arial" w:cs="Arial"/>
        </w:rPr>
        <w:t>Permanente de Licitação</w:t>
      </w:r>
      <w:r w:rsidR="00CB5B4D" w:rsidRPr="00911055">
        <w:rPr>
          <w:rFonts w:ascii="Arial" w:hAnsi="Arial" w:cs="Arial"/>
        </w:rPr>
        <w:t xml:space="preserve">, solicitando a liberação de adiantamento </w:t>
      </w:r>
      <w:r w:rsidR="00076FF4" w:rsidRPr="00911055">
        <w:rPr>
          <w:rFonts w:ascii="Arial" w:hAnsi="Arial" w:cs="Arial"/>
        </w:rPr>
        <w:t>de numerário para atender às demandas de despesas</w:t>
      </w:r>
      <w:r w:rsidR="00D120BA" w:rsidRPr="00911055">
        <w:rPr>
          <w:rFonts w:ascii="Arial" w:hAnsi="Arial" w:cs="Arial"/>
        </w:rPr>
        <w:t xml:space="preserve"> emergenciais;</w:t>
      </w:r>
    </w:p>
    <w:p w:rsidR="006B4733" w:rsidRPr="00911055" w:rsidRDefault="00412AB0" w:rsidP="00296225">
      <w:pPr>
        <w:pStyle w:val="SemEspaamento"/>
        <w:numPr>
          <w:ilvl w:val="0"/>
          <w:numId w:val="1"/>
        </w:numPr>
        <w:ind w:left="1134" w:right="-1" w:hanging="283"/>
        <w:jc w:val="both"/>
        <w:rPr>
          <w:rFonts w:ascii="Arial" w:hAnsi="Arial" w:cs="Arial"/>
          <w:color w:val="FF0000"/>
        </w:rPr>
      </w:pPr>
      <w:r w:rsidRPr="00911055">
        <w:rPr>
          <w:rFonts w:ascii="Arial" w:hAnsi="Arial" w:cs="Arial"/>
        </w:rPr>
        <w:t>Às</w:t>
      </w:r>
      <w:r w:rsidR="00D95501" w:rsidRPr="00911055">
        <w:rPr>
          <w:rFonts w:ascii="Arial" w:hAnsi="Arial" w:cs="Arial"/>
        </w:rPr>
        <w:t xml:space="preserve"> fls. 03/04, verifica-se </w:t>
      </w:r>
      <w:r w:rsidR="00D120BA" w:rsidRPr="00911055">
        <w:rPr>
          <w:rFonts w:ascii="Arial" w:hAnsi="Arial" w:cs="Arial"/>
        </w:rPr>
        <w:t>Anexo II d</w:t>
      </w:r>
      <w:r w:rsidR="00D95501" w:rsidRPr="00911055">
        <w:rPr>
          <w:rFonts w:ascii="Arial" w:hAnsi="Arial" w:cs="Arial"/>
        </w:rPr>
        <w:t>a Prestação de Contas do Adiantamento - do numerário recebido, no valor de R$ 2.000,00</w:t>
      </w:r>
      <w:r w:rsidR="002F1FF7" w:rsidRPr="00911055">
        <w:rPr>
          <w:rFonts w:ascii="Arial" w:hAnsi="Arial" w:cs="Arial"/>
        </w:rPr>
        <w:t xml:space="preserve">  </w:t>
      </w:r>
      <w:r w:rsidR="00D95501" w:rsidRPr="00911055">
        <w:rPr>
          <w:rFonts w:ascii="Arial" w:hAnsi="Arial" w:cs="Arial"/>
        </w:rPr>
        <w:t>(dois mil reais),</w:t>
      </w:r>
      <w:r w:rsidR="00555C8B" w:rsidRPr="00911055">
        <w:rPr>
          <w:rFonts w:ascii="Arial" w:hAnsi="Arial" w:cs="Arial"/>
        </w:rPr>
        <w:t xml:space="preserve"> </w:t>
      </w:r>
      <w:r w:rsidR="00D95501" w:rsidRPr="00911055">
        <w:rPr>
          <w:rFonts w:ascii="Arial" w:hAnsi="Arial" w:cs="Arial"/>
        </w:rPr>
        <w:t>datado de 05/06/2017 e assinado pela responsável pelo Adiantamento</w:t>
      </w:r>
      <w:r w:rsidR="002F1FF7" w:rsidRPr="00911055">
        <w:rPr>
          <w:rFonts w:ascii="Arial" w:hAnsi="Arial" w:cs="Arial"/>
        </w:rPr>
        <w:t>;</w:t>
      </w:r>
      <w:r w:rsidR="00D95501" w:rsidRPr="00911055">
        <w:rPr>
          <w:rFonts w:ascii="Arial" w:hAnsi="Arial" w:cs="Arial"/>
        </w:rPr>
        <w:t xml:space="preserve"> </w:t>
      </w:r>
    </w:p>
    <w:p w:rsidR="006B4733" w:rsidRPr="00911055" w:rsidRDefault="006B4733" w:rsidP="00296225">
      <w:pPr>
        <w:pStyle w:val="SemEspaamento"/>
        <w:numPr>
          <w:ilvl w:val="0"/>
          <w:numId w:val="1"/>
        </w:numPr>
        <w:ind w:left="1134" w:right="-1" w:hanging="283"/>
        <w:jc w:val="both"/>
        <w:rPr>
          <w:rFonts w:ascii="Arial" w:hAnsi="Arial" w:cs="Arial"/>
        </w:rPr>
      </w:pPr>
      <w:r w:rsidRPr="00911055">
        <w:rPr>
          <w:rFonts w:ascii="Arial" w:hAnsi="Arial" w:cs="Arial"/>
        </w:rPr>
        <w:t>Às fls. 20/21, verifica-se D</w:t>
      </w:r>
      <w:r w:rsidR="00911055" w:rsidRPr="00911055">
        <w:rPr>
          <w:rFonts w:ascii="Arial" w:hAnsi="Arial" w:cs="Arial"/>
        </w:rPr>
        <w:t>espacho</w:t>
      </w:r>
      <w:r w:rsidRPr="00911055">
        <w:rPr>
          <w:rFonts w:ascii="Arial" w:hAnsi="Arial" w:cs="Arial"/>
        </w:rPr>
        <w:t xml:space="preserve"> nº 045/GERCON/2017, emitido em 23/06/2017, da lavra do Gerente de Contabilidade, que relata:</w:t>
      </w:r>
    </w:p>
    <w:p w:rsidR="00645319" w:rsidRPr="00911055" w:rsidRDefault="006B4733" w:rsidP="00296225">
      <w:pPr>
        <w:pStyle w:val="SemEspaamento"/>
        <w:ind w:left="2268" w:right="-1"/>
        <w:jc w:val="both"/>
        <w:rPr>
          <w:rFonts w:ascii="Arial" w:hAnsi="Arial" w:cs="Arial"/>
          <w:i/>
        </w:rPr>
      </w:pPr>
      <w:r w:rsidRPr="00911055">
        <w:rPr>
          <w:rFonts w:ascii="Arial" w:hAnsi="Arial" w:cs="Arial"/>
          <w:i/>
        </w:rPr>
        <w:t>[...] Considerando que ao efetuar a análise da prestação de contas, foi detectado que houve a aquisição de quadro branco e HD externo, conforme documentos em anexo de nº 405749 e 22177, ambos caracterizados como material permanente, sugiro a glosa da despesa no montante de R$ 463,10 (quatrocentos e sessenta e três reais e dez centavos) e a devolução desde montante aos cofres públicos. [...]</w:t>
      </w:r>
    </w:p>
    <w:p w:rsidR="00645319" w:rsidRPr="00911055" w:rsidRDefault="00645319" w:rsidP="00296225">
      <w:pPr>
        <w:pStyle w:val="SemEspaamento"/>
        <w:ind w:left="2268"/>
        <w:jc w:val="both"/>
        <w:rPr>
          <w:rFonts w:ascii="Arial" w:hAnsi="Arial" w:cs="Arial"/>
          <w:i/>
        </w:rPr>
      </w:pPr>
    </w:p>
    <w:p w:rsidR="006B4733" w:rsidRPr="00911055" w:rsidRDefault="00907495" w:rsidP="00296225">
      <w:pPr>
        <w:pStyle w:val="SemEspaamento"/>
        <w:numPr>
          <w:ilvl w:val="0"/>
          <w:numId w:val="1"/>
        </w:numPr>
        <w:ind w:left="1134" w:right="-1" w:hanging="283"/>
        <w:jc w:val="both"/>
        <w:rPr>
          <w:rFonts w:ascii="Arial" w:hAnsi="Arial" w:cs="Arial"/>
        </w:rPr>
      </w:pPr>
      <w:r w:rsidRPr="00911055">
        <w:rPr>
          <w:rFonts w:ascii="Arial" w:hAnsi="Arial" w:cs="Arial"/>
        </w:rPr>
        <w:t xml:space="preserve">À fl. 22, </w:t>
      </w:r>
      <w:r w:rsidR="00372555" w:rsidRPr="00911055">
        <w:rPr>
          <w:rFonts w:ascii="Arial" w:hAnsi="Arial" w:cs="Arial"/>
        </w:rPr>
        <w:t>consta</w:t>
      </w:r>
      <w:r w:rsidRPr="00911055">
        <w:rPr>
          <w:rFonts w:ascii="Arial" w:hAnsi="Arial" w:cs="Arial"/>
        </w:rPr>
        <w:t xml:space="preserve"> </w:t>
      </w:r>
      <w:r w:rsidR="00372555" w:rsidRPr="00911055">
        <w:rPr>
          <w:rFonts w:ascii="Arial" w:hAnsi="Arial" w:cs="Arial"/>
        </w:rPr>
        <w:t>Quadro</w:t>
      </w:r>
      <w:r w:rsidR="00693659" w:rsidRPr="00911055">
        <w:rPr>
          <w:rFonts w:ascii="Arial" w:hAnsi="Arial" w:cs="Arial"/>
        </w:rPr>
        <w:t xml:space="preserve"> Demonstrativo</w:t>
      </w:r>
      <w:r w:rsidR="0051480D" w:rsidRPr="00911055">
        <w:rPr>
          <w:rFonts w:ascii="Arial" w:hAnsi="Arial" w:cs="Arial"/>
        </w:rPr>
        <w:t>,</w:t>
      </w:r>
      <w:r w:rsidR="00372555" w:rsidRPr="00911055">
        <w:rPr>
          <w:rFonts w:ascii="Arial" w:hAnsi="Arial" w:cs="Arial"/>
        </w:rPr>
        <w:t xml:space="preserve"> </w:t>
      </w:r>
      <w:r w:rsidR="0051480D" w:rsidRPr="00911055">
        <w:rPr>
          <w:rFonts w:ascii="Arial" w:hAnsi="Arial" w:cs="Arial"/>
        </w:rPr>
        <w:t>contendo</w:t>
      </w:r>
      <w:r w:rsidR="00372555" w:rsidRPr="00911055">
        <w:rPr>
          <w:rFonts w:ascii="Arial" w:hAnsi="Arial" w:cs="Arial"/>
        </w:rPr>
        <w:t xml:space="preserve">  informações </w:t>
      </w:r>
      <w:r w:rsidR="00A744BF" w:rsidRPr="00911055">
        <w:rPr>
          <w:rFonts w:ascii="Arial" w:hAnsi="Arial" w:cs="Arial"/>
        </w:rPr>
        <w:t xml:space="preserve">que destaca um saldo de devolução aos cofres públicos </w:t>
      </w:r>
      <w:r w:rsidR="00D120BA" w:rsidRPr="00911055">
        <w:rPr>
          <w:rFonts w:ascii="Arial" w:hAnsi="Arial" w:cs="Arial"/>
        </w:rPr>
        <w:t>no</w:t>
      </w:r>
      <w:r w:rsidR="0051480D" w:rsidRPr="00911055">
        <w:rPr>
          <w:rFonts w:ascii="Arial" w:hAnsi="Arial" w:cs="Arial"/>
        </w:rPr>
        <w:t xml:space="preserve"> </w:t>
      </w:r>
      <w:r w:rsidR="00D120BA" w:rsidRPr="00911055">
        <w:rPr>
          <w:rFonts w:ascii="Arial" w:hAnsi="Arial" w:cs="Arial"/>
        </w:rPr>
        <w:t xml:space="preserve">valor </w:t>
      </w:r>
      <w:r w:rsidR="00372555" w:rsidRPr="00911055">
        <w:rPr>
          <w:rFonts w:ascii="Arial" w:hAnsi="Arial" w:cs="Arial"/>
        </w:rPr>
        <w:t xml:space="preserve">de </w:t>
      </w:r>
      <w:r w:rsidR="00A744BF" w:rsidRPr="00911055">
        <w:rPr>
          <w:rFonts w:ascii="Arial" w:hAnsi="Arial" w:cs="Arial"/>
        </w:rPr>
        <w:t xml:space="preserve">               </w:t>
      </w:r>
      <w:r w:rsidR="00372555" w:rsidRPr="00911055">
        <w:rPr>
          <w:rFonts w:ascii="Arial" w:hAnsi="Arial" w:cs="Arial"/>
        </w:rPr>
        <w:t xml:space="preserve">R$ 463,10 (quatrocentos e sessenta e três reais e dez centavos), </w:t>
      </w:r>
      <w:r w:rsidR="00A744BF" w:rsidRPr="00911055">
        <w:rPr>
          <w:rFonts w:ascii="Arial" w:hAnsi="Arial" w:cs="Arial"/>
        </w:rPr>
        <w:t xml:space="preserve">de despesas </w:t>
      </w:r>
      <w:r w:rsidR="00D120BA" w:rsidRPr="00911055">
        <w:rPr>
          <w:rFonts w:ascii="Arial" w:hAnsi="Arial" w:cs="Arial"/>
        </w:rPr>
        <w:t xml:space="preserve">efetuadas </w:t>
      </w:r>
      <w:r w:rsidR="00372555" w:rsidRPr="00911055">
        <w:rPr>
          <w:rFonts w:ascii="Arial" w:hAnsi="Arial" w:cs="Arial"/>
        </w:rPr>
        <w:t>com material</w:t>
      </w:r>
      <w:r w:rsidR="00EE6338" w:rsidRPr="00911055">
        <w:rPr>
          <w:rFonts w:ascii="Arial" w:hAnsi="Arial" w:cs="Arial"/>
        </w:rPr>
        <w:t>,</w:t>
      </w:r>
      <w:r w:rsidR="00911055" w:rsidRPr="00911055">
        <w:rPr>
          <w:rFonts w:ascii="Arial" w:hAnsi="Arial" w:cs="Arial"/>
        </w:rPr>
        <w:t xml:space="preserve"> que foram g</w:t>
      </w:r>
      <w:r w:rsidR="00372555" w:rsidRPr="00911055">
        <w:rPr>
          <w:rFonts w:ascii="Arial" w:hAnsi="Arial" w:cs="Arial"/>
        </w:rPr>
        <w:t>losada</w:t>
      </w:r>
      <w:r w:rsidR="00EE6338" w:rsidRPr="00911055">
        <w:rPr>
          <w:rFonts w:ascii="Arial" w:hAnsi="Arial" w:cs="Arial"/>
        </w:rPr>
        <w:t>s</w:t>
      </w:r>
      <w:r w:rsidR="00A744BF" w:rsidRPr="00911055">
        <w:rPr>
          <w:rFonts w:ascii="Arial" w:hAnsi="Arial" w:cs="Arial"/>
        </w:rPr>
        <w:t>;</w:t>
      </w:r>
      <w:r w:rsidRPr="00911055">
        <w:rPr>
          <w:rFonts w:ascii="Arial" w:hAnsi="Arial" w:cs="Arial"/>
        </w:rPr>
        <w:t xml:space="preserve"> </w:t>
      </w:r>
    </w:p>
    <w:p w:rsidR="00645319" w:rsidRPr="00911055" w:rsidRDefault="00645319" w:rsidP="00296225">
      <w:pPr>
        <w:pStyle w:val="SemEspaamento"/>
        <w:ind w:left="1134" w:right="-1"/>
        <w:jc w:val="both"/>
        <w:rPr>
          <w:rFonts w:ascii="Arial" w:hAnsi="Arial" w:cs="Arial"/>
        </w:rPr>
      </w:pPr>
    </w:p>
    <w:p w:rsidR="003D0343" w:rsidRPr="00911055" w:rsidRDefault="003D0343" w:rsidP="00296225">
      <w:pPr>
        <w:pStyle w:val="SemEspaamento"/>
        <w:numPr>
          <w:ilvl w:val="0"/>
          <w:numId w:val="1"/>
        </w:numPr>
        <w:ind w:left="1134" w:right="-1" w:hanging="283"/>
        <w:jc w:val="both"/>
        <w:rPr>
          <w:rFonts w:ascii="Arial" w:hAnsi="Arial" w:cs="Arial"/>
        </w:rPr>
      </w:pPr>
      <w:r w:rsidRPr="00296225">
        <w:rPr>
          <w:rFonts w:ascii="Arial" w:hAnsi="Arial" w:cs="Arial"/>
        </w:rPr>
        <w:t>Às fls. 32/33, verifica-</w:t>
      </w:r>
      <w:r w:rsidRPr="00911055">
        <w:rPr>
          <w:rFonts w:ascii="Arial" w:hAnsi="Arial" w:cs="Arial"/>
        </w:rPr>
        <w:t xml:space="preserve">se </w:t>
      </w:r>
      <w:r w:rsidR="00911055">
        <w:rPr>
          <w:rFonts w:ascii="Arial" w:hAnsi="Arial" w:cs="Arial"/>
        </w:rPr>
        <w:t>D</w:t>
      </w:r>
      <w:r w:rsidR="00911055" w:rsidRPr="00911055">
        <w:rPr>
          <w:rFonts w:ascii="Arial" w:hAnsi="Arial" w:cs="Arial"/>
        </w:rPr>
        <w:t xml:space="preserve">espacho </w:t>
      </w:r>
      <w:r w:rsidRPr="00911055">
        <w:rPr>
          <w:rFonts w:ascii="Arial" w:hAnsi="Arial" w:cs="Arial"/>
        </w:rPr>
        <w:t>nº 246/GSEGI-SSP/2017, emitido em 10/07/2017</w:t>
      </w:r>
      <w:r w:rsidR="00D903AB" w:rsidRPr="00911055">
        <w:rPr>
          <w:rFonts w:ascii="Arial" w:hAnsi="Arial" w:cs="Arial"/>
        </w:rPr>
        <w:t xml:space="preserve">, </w:t>
      </w:r>
      <w:r w:rsidR="00F23D7F" w:rsidRPr="00911055">
        <w:rPr>
          <w:rFonts w:ascii="Arial" w:hAnsi="Arial" w:cs="Arial"/>
        </w:rPr>
        <w:t>da lavra do Secretá</w:t>
      </w:r>
      <w:r w:rsidRPr="00911055">
        <w:rPr>
          <w:rFonts w:ascii="Arial" w:hAnsi="Arial" w:cs="Arial"/>
        </w:rPr>
        <w:t xml:space="preserve">rio Executivo de Gestão Interna </w:t>
      </w:r>
      <w:r w:rsidR="00D903AB" w:rsidRPr="00911055">
        <w:rPr>
          <w:rFonts w:ascii="Arial" w:hAnsi="Arial" w:cs="Arial"/>
        </w:rPr>
        <w:t>da</w:t>
      </w:r>
      <w:r w:rsidR="00BD3209" w:rsidRPr="00911055">
        <w:rPr>
          <w:rFonts w:ascii="Arial" w:hAnsi="Arial" w:cs="Arial"/>
        </w:rPr>
        <w:t xml:space="preserve"> </w:t>
      </w:r>
      <w:r w:rsidR="00D903AB" w:rsidRPr="00911055">
        <w:rPr>
          <w:rFonts w:ascii="Arial" w:hAnsi="Arial" w:cs="Arial"/>
        </w:rPr>
        <w:lastRenderedPageBreak/>
        <w:t>SEDES</w:t>
      </w:r>
      <w:r w:rsidRPr="00911055">
        <w:rPr>
          <w:rFonts w:ascii="Arial" w:hAnsi="Arial" w:cs="Arial"/>
        </w:rPr>
        <w:t>,</w:t>
      </w:r>
      <w:r w:rsidR="008770C2" w:rsidRPr="00911055">
        <w:rPr>
          <w:rFonts w:ascii="Arial" w:hAnsi="Arial" w:cs="Arial"/>
        </w:rPr>
        <w:t xml:space="preserve"> </w:t>
      </w:r>
      <w:r w:rsidR="0008316C" w:rsidRPr="00911055">
        <w:rPr>
          <w:rFonts w:ascii="Arial" w:hAnsi="Arial" w:cs="Arial"/>
        </w:rPr>
        <w:t xml:space="preserve">remetendo os autos do processo ao </w:t>
      </w:r>
      <w:r w:rsidR="00645319" w:rsidRPr="00911055">
        <w:rPr>
          <w:rFonts w:ascii="Arial" w:hAnsi="Arial" w:cs="Arial"/>
        </w:rPr>
        <w:t>Gabinete do Secretário da SSP</w:t>
      </w:r>
      <w:r w:rsidR="0008316C" w:rsidRPr="00911055">
        <w:rPr>
          <w:rFonts w:ascii="Arial" w:hAnsi="Arial" w:cs="Arial"/>
        </w:rPr>
        <w:t xml:space="preserve">, </w:t>
      </w:r>
      <w:r w:rsidR="00645319" w:rsidRPr="00911055">
        <w:rPr>
          <w:rFonts w:ascii="Arial" w:hAnsi="Arial" w:cs="Arial"/>
        </w:rPr>
        <w:t xml:space="preserve">solicitando enviar </w:t>
      </w:r>
      <w:r w:rsidR="00F23D7F" w:rsidRPr="00911055">
        <w:rPr>
          <w:rFonts w:ascii="Arial" w:hAnsi="Arial" w:cs="Arial"/>
        </w:rPr>
        <w:t>à</w:t>
      </w:r>
      <w:r w:rsidR="00C644D3" w:rsidRPr="00911055">
        <w:rPr>
          <w:rFonts w:ascii="Arial" w:hAnsi="Arial" w:cs="Arial"/>
        </w:rPr>
        <w:t xml:space="preserve"> SEFAZ e,</w:t>
      </w:r>
      <w:r w:rsidR="00A744BF" w:rsidRPr="00911055">
        <w:rPr>
          <w:rFonts w:ascii="Arial" w:hAnsi="Arial" w:cs="Arial"/>
        </w:rPr>
        <w:t xml:space="preserve"> </w:t>
      </w:r>
      <w:r w:rsidR="00911055" w:rsidRPr="00911055">
        <w:rPr>
          <w:rFonts w:ascii="Arial" w:hAnsi="Arial" w:cs="Arial"/>
        </w:rPr>
        <w:t>em ato continuo à</w:t>
      </w:r>
      <w:r w:rsidR="00C644D3" w:rsidRPr="00911055">
        <w:rPr>
          <w:rFonts w:ascii="Arial" w:hAnsi="Arial" w:cs="Arial"/>
        </w:rPr>
        <w:t xml:space="preserve"> CGE,</w:t>
      </w:r>
      <w:r w:rsidR="00645319" w:rsidRPr="00911055">
        <w:rPr>
          <w:rFonts w:ascii="Arial" w:hAnsi="Arial" w:cs="Arial"/>
        </w:rPr>
        <w:t xml:space="preserve"> </w:t>
      </w:r>
      <w:r w:rsidR="0008316C" w:rsidRPr="00911055">
        <w:rPr>
          <w:rFonts w:ascii="Arial" w:hAnsi="Arial" w:cs="Arial"/>
        </w:rPr>
        <w:t xml:space="preserve">visando </w:t>
      </w:r>
      <w:r w:rsidR="008770C2" w:rsidRPr="00911055">
        <w:rPr>
          <w:rFonts w:ascii="Arial" w:hAnsi="Arial" w:cs="Arial"/>
        </w:rPr>
        <w:t>à</w:t>
      </w:r>
      <w:r w:rsidR="0008316C" w:rsidRPr="00911055">
        <w:rPr>
          <w:rFonts w:ascii="Arial" w:hAnsi="Arial" w:cs="Arial"/>
        </w:rPr>
        <w:t xml:space="preserve"> análise do enquadramento le</w:t>
      </w:r>
      <w:r w:rsidR="008770C2" w:rsidRPr="00911055">
        <w:rPr>
          <w:rFonts w:ascii="Arial" w:hAnsi="Arial" w:cs="Arial"/>
        </w:rPr>
        <w:t>gal de</w:t>
      </w:r>
      <w:r w:rsidR="0008316C" w:rsidRPr="00911055">
        <w:rPr>
          <w:rFonts w:ascii="Arial" w:hAnsi="Arial" w:cs="Arial"/>
        </w:rPr>
        <w:t xml:space="preserve"> bens </w:t>
      </w:r>
      <w:r w:rsidR="008770C2" w:rsidRPr="00911055">
        <w:rPr>
          <w:rFonts w:ascii="Arial" w:hAnsi="Arial" w:cs="Arial"/>
        </w:rPr>
        <w:t>permanente</w:t>
      </w:r>
      <w:r w:rsidR="00C644D3" w:rsidRPr="00911055">
        <w:rPr>
          <w:rFonts w:ascii="Arial" w:hAnsi="Arial" w:cs="Arial"/>
        </w:rPr>
        <w:t xml:space="preserve"> </w:t>
      </w:r>
      <w:r w:rsidR="0008316C" w:rsidRPr="00911055">
        <w:rPr>
          <w:rFonts w:ascii="Arial" w:hAnsi="Arial" w:cs="Arial"/>
        </w:rPr>
        <w:t xml:space="preserve">adquirido </w:t>
      </w:r>
      <w:r w:rsidR="008770C2" w:rsidRPr="00911055">
        <w:rPr>
          <w:rFonts w:ascii="Arial" w:hAnsi="Arial" w:cs="Arial"/>
        </w:rPr>
        <w:t xml:space="preserve">com recursos de </w:t>
      </w:r>
      <w:r w:rsidR="00BD3209" w:rsidRPr="00911055">
        <w:rPr>
          <w:rFonts w:ascii="Arial" w:hAnsi="Arial" w:cs="Arial"/>
        </w:rPr>
        <w:t xml:space="preserve">adiantamento </w:t>
      </w:r>
      <w:r w:rsidR="008770C2" w:rsidRPr="00911055">
        <w:rPr>
          <w:rFonts w:ascii="Arial" w:hAnsi="Arial" w:cs="Arial"/>
        </w:rPr>
        <w:t>de numer</w:t>
      </w:r>
      <w:r w:rsidR="00C644D3" w:rsidRPr="00911055">
        <w:rPr>
          <w:rFonts w:ascii="Arial" w:hAnsi="Arial" w:cs="Arial"/>
        </w:rPr>
        <w:t>ários</w:t>
      </w:r>
      <w:r w:rsidR="008770C2" w:rsidRPr="00911055">
        <w:rPr>
          <w:rFonts w:ascii="Arial" w:hAnsi="Arial" w:cs="Arial"/>
        </w:rPr>
        <w:t xml:space="preserve">. </w:t>
      </w:r>
      <w:r w:rsidR="00BD3209" w:rsidRPr="00911055">
        <w:rPr>
          <w:rFonts w:ascii="Arial" w:hAnsi="Arial" w:cs="Arial"/>
        </w:rPr>
        <w:t xml:space="preserve"> </w:t>
      </w:r>
      <w:r w:rsidR="00693659" w:rsidRPr="00911055">
        <w:rPr>
          <w:rFonts w:ascii="Arial" w:hAnsi="Arial" w:cs="Arial"/>
        </w:rPr>
        <w:t>E</w:t>
      </w:r>
      <w:r w:rsidRPr="00911055">
        <w:rPr>
          <w:rFonts w:ascii="Arial" w:hAnsi="Arial" w:cs="Arial"/>
        </w:rPr>
        <w:t xml:space="preserve"> relata</w:t>
      </w:r>
      <w:r w:rsidR="00693659" w:rsidRPr="00911055">
        <w:rPr>
          <w:rFonts w:ascii="Arial" w:hAnsi="Arial" w:cs="Arial"/>
        </w:rPr>
        <w:t xml:space="preserve"> que</w:t>
      </w:r>
      <w:r w:rsidRPr="00911055">
        <w:rPr>
          <w:rFonts w:ascii="Arial" w:hAnsi="Arial" w:cs="Arial"/>
        </w:rPr>
        <w:t>:</w:t>
      </w:r>
    </w:p>
    <w:p w:rsidR="006B6993" w:rsidRPr="00296225" w:rsidRDefault="00F147D7" w:rsidP="00296225">
      <w:pPr>
        <w:pStyle w:val="SemEspaamento"/>
        <w:ind w:left="2268" w:right="-1"/>
        <w:jc w:val="both"/>
        <w:rPr>
          <w:rFonts w:ascii="Arial" w:hAnsi="Arial" w:cs="Arial"/>
        </w:rPr>
      </w:pPr>
      <w:r w:rsidRPr="00296225">
        <w:rPr>
          <w:rFonts w:ascii="Arial" w:hAnsi="Arial" w:cs="Arial"/>
        </w:rPr>
        <w:t xml:space="preserve">[..] </w:t>
      </w:r>
      <w:r w:rsidR="003D0343" w:rsidRPr="00296225">
        <w:rPr>
          <w:rFonts w:ascii="Arial" w:hAnsi="Arial" w:cs="Arial"/>
        </w:rPr>
        <w:t>“</w:t>
      </w:r>
      <w:r w:rsidR="004E1018" w:rsidRPr="00296225">
        <w:rPr>
          <w:rFonts w:ascii="Arial" w:hAnsi="Arial" w:cs="Arial"/>
        </w:rPr>
        <w:t>O ponto nevrálgico do referido processo r</w:t>
      </w:r>
      <w:r w:rsidR="00693659" w:rsidRPr="00296225">
        <w:rPr>
          <w:rFonts w:ascii="Arial" w:hAnsi="Arial" w:cs="Arial"/>
        </w:rPr>
        <w:t>eside justamente em ser os bens</w:t>
      </w:r>
      <w:r w:rsidR="004E1018" w:rsidRPr="00296225">
        <w:rPr>
          <w:rFonts w:ascii="Arial" w:hAnsi="Arial" w:cs="Arial"/>
        </w:rPr>
        <w:t xml:space="preserve"> </w:t>
      </w:r>
      <w:r w:rsidR="00693659" w:rsidRPr="00296225">
        <w:rPr>
          <w:rFonts w:ascii="Arial" w:hAnsi="Arial" w:cs="Arial"/>
        </w:rPr>
        <w:t xml:space="preserve">- </w:t>
      </w:r>
      <w:r w:rsidR="004E1018" w:rsidRPr="00296225">
        <w:rPr>
          <w:rFonts w:ascii="Arial" w:hAnsi="Arial" w:cs="Arial"/>
        </w:rPr>
        <w:t xml:space="preserve">quadro branco e HD externo – </w:t>
      </w:r>
      <w:r w:rsidR="00693659" w:rsidRPr="00296225">
        <w:rPr>
          <w:rFonts w:ascii="Arial" w:hAnsi="Arial" w:cs="Arial"/>
        </w:rPr>
        <w:t xml:space="preserve">considerados ou não material e </w:t>
      </w:r>
      <w:r w:rsidR="006B6993" w:rsidRPr="00296225">
        <w:rPr>
          <w:rFonts w:ascii="Arial" w:hAnsi="Arial" w:cs="Arial"/>
        </w:rPr>
        <w:t>equipamentos permanentes. Fizemos um breve consulta e encontramos entendimentos  antagônicos, ora entendendo serem bens de consumo, ora bens permanentes.</w:t>
      </w:r>
      <w:r w:rsidR="001A1A71" w:rsidRPr="00296225">
        <w:rPr>
          <w:rFonts w:ascii="Arial" w:hAnsi="Arial" w:cs="Arial"/>
        </w:rPr>
        <w:t>” [...]</w:t>
      </w:r>
    </w:p>
    <w:p w:rsidR="000E38D0" w:rsidRPr="00911055" w:rsidRDefault="000E38D0" w:rsidP="00296225">
      <w:pPr>
        <w:pStyle w:val="SemEspaamento"/>
        <w:numPr>
          <w:ilvl w:val="0"/>
          <w:numId w:val="1"/>
        </w:numPr>
        <w:ind w:left="1134" w:right="-1" w:hanging="283"/>
        <w:jc w:val="both"/>
        <w:rPr>
          <w:rFonts w:ascii="Arial" w:hAnsi="Arial" w:cs="Arial"/>
        </w:rPr>
      </w:pPr>
      <w:r w:rsidRPr="00296225">
        <w:rPr>
          <w:rFonts w:ascii="Arial" w:hAnsi="Arial" w:cs="Arial"/>
        </w:rPr>
        <w:t>À fl. 38 verifica-</w:t>
      </w:r>
      <w:r w:rsidRPr="00911055">
        <w:rPr>
          <w:rFonts w:ascii="Arial" w:hAnsi="Arial" w:cs="Arial"/>
        </w:rPr>
        <w:t>se D</w:t>
      </w:r>
      <w:r w:rsidR="00911055" w:rsidRPr="00911055">
        <w:rPr>
          <w:rFonts w:ascii="Arial" w:hAnsi="Arial" w:cs="Arial"/>
        </w:rPr>
        <w:t>espacho</w:t>
      </w:r>
      <w:r w:rsidRPr="00911055">
        <w:rPr>
          <w:rFonts w:ascii="Arial" w:hAnsi="Arial" w:cs="Arial"/>
        </w:rPr>
        <w:t xml:space="preserve"> nº 1386/GS/AE//2017, datado de 17/07/2017, da lavra do Secretário de Estado da Segurança Pública, encaminhando os autos do processo para SEFAZ e a CGE, para dirimir duvidas quanto à aquisição dos referindo bens se foram em desobediência aos Decretos Estaduais nº 37.119/97 e 37.143/97, combinado com a Lei Federal nº 4.320/64, visando à análise do enquadra</w:t>
      </w:r>
      <w:r w:rsidR="00911055">
        <w:rPr>
          <w:rFonts w:ascii="Arial" w:hAnsi="Arial" w:cs="Arial"/>
        </w:rPr>
        <w:t>mento legal dos bens adquiridos;</w:t>
      </w:r>
      <w:r w:rsidRPr="00911055">
        <w:rPr>
          <w:rFonts w:ascii="Arial" w:hAnsi="Arial" w:cs="Arial"/>
        </w:rPr>
        <w:t xml:space="preserve"> </w:t>
      </w:r>
    </w:p>
    <w:p w:rsidR="000E38D0" w:rsidRPr="00911055" w:rsidRDefault="000E38D0" w:rsidP="00296225">
      <w:pPr>
        <w:pStyle w:val="SemEspaamento"/>
        <w:numPr>
          <w:ilvl w:val="0"/>
          <w:numId w:val="1"/>
        </w:numPr>
        <w:ind w:left="1134" w:right="-1" w:hanging="283"/>
        <w:jc w:val="both"/>
        <w:rPr>
          <w:rFonts w:ascii="Arial" w:hAnsi="Arial" w:cs="Arial"/>
        </w:rPr>
      </w:pPr>
      <w:r w:rsidRPr="00911055">
        <w:rPr>
          <w:rFonts w:ascii="Arial" w:hAnsi="Arial" w:cs="Arial"/>
        </w:rPr>
        <w:t>À fl. 39, consta Despacho GSEF nº 4061/2017, datado de 20/07/2017, da l</w:t>
      </w:r>
      <w:r w:rsidR="00DB5A25" w:rsidRPr="00911055">
        <w:rPr>
          <w:rFonts w:ascii="Arial" w:hAnsi="Arial" w:cs="Arial"/>
        </w:rPr>
        <w:t>avra da Secretária Especial do T</w:t>
      </w:r>
      <w:r w:rsidRPr="00911055">
        <w:rPr>
          <w:rFonts w:ascii="Arial" w:hAnsi="Arial" w:cs="Arial"/>
        </w:rPr>
        <w:t xml:space="preserve">esouro </w:t>
      </w:r>
      <w:r w:rsidR="00DB5A25" w:rsidRPr="00911055">
        <w:rPr>
          <w:rFonts w:ascii="Arial" w:hAnsi="Arial" w:cs="Arial"/>
        </w:rPr>
        <w:t xml:space="preserve">Estadual encaminhado aos autos do processo à Controladoria geral do estado – CGE para análise quanto ao atendimento da demanda e providencias que </w:t>
      </w:r>
      <w:r w:rsidR="009E2E40" w:rsidRPr="00911055">
        <w:rPr>
          <w:rFonts w:ascii="Arial" w:hAnsi="Arial" w:cs="Arial"/>
        </w:rPr>
        <w:t>fizerem</w:t>
      </w:r>
      <w:r w:rsidR="00DB5A25" w:rsidRPr="00911055">
        <w:rPr>
          <w:rFonts w:ascii="Arial" w:hAnsi="Arial" w:cs="Arial"/>
        </w:rPr>
        <w:t xml:space="preserve"> necessá</w:t>
      </w:r>
      <w:r w:rsidR="00911055">
        <w:rPr>
          <w:rFonts w:ascii="Arial" w:hAnsi="Arial" w:cs="Arial"/>
        </w:rPr>
        <w:t>rias para atendimento do pleito;</w:t>
      </w:r>
    </w:p>
    <w:p w:rsidR="000E38D0" w:rsidRPr="00296225" w:rsidRDefault="009E2E40" w:rsidP="00296225">
      <w:pPr>
        <w:numPr>
          <w:ilvl w:val="0"/>
          <w:numId w:val="1"/>
        </w:numPr>
        <w:spacing w:after="0" w:line="240" w:lineRule="auto"/>
        <w:ind w:left="1134" w:right="-1" w:hanging="283"/>
        <w:jc w:val="both"/>
        <w:rPr>
          <w:rFonts w:ascii="Arial" w:hAnsi="Arial" w:cs="Arial"/>
        </w:rPr>
      </w:pPr>
      <w:r w:rsidRPr="00911055">
        <w:rPr>
          <w:rFonts w:ascii="Arial" w:hAnsi="Arial" w:cs="Arial"/>
        </w:rPr>
        <w:t>Às fls. 40, consta D</w:t>
      </w:r>
      <w:r w:rsidR="00911055" w:rsidRPr="00911055">
        <w:rPr>
          <w:rFonts w:ascii="Arial" w:hAnsi="Arial" w:cs="Arial"/>
        </w:rPr>
        <w:t>espacho</w:t>
      </w:r>
      <w:r w:rsidRPr="00911055">
        <w:rPr>
          <w:rFonts w:ascii="Arial" w:hAnsi="Arial" w:cs="Arial"/>
        </w:rPr>
        <w:t>, datado em 24/07/2017, da lavra da lavra da chefia de Gabinete/CGE, enviando os autos</w:t>
      </w:r>
      <w:r w:rsidRPr="00296225">
        <w:rPr>
          <w:rFonts w:ascii="Arial" w:hAnsi="Arial" w:cs="Arial"/>
        </w:rPr>
        <w:t xml:space="preserve"> do processo para à SUCOF para análise e Parecer Técnico.</w:t>
      </w:r>
    </w:p>
    <w:p w:rsidR="00654736" w:rsidRDefault="00654736" w:rsidP="00296225">
      <w:pPr>
        <w:pStyle w:val="SemEspaamento"/>
        <w:jc w:val="both"/>
        <w:rPr>
          <w:rFonts w:ascii="Arial" w:hAnsi="Arial" w:cs="Arial"/>
        </w:rPr>
      </w:pPr>
    </w:p>
    <w:p w:rsidR="00A10B05" w:rsidRDefault="00A10B05" w:rsidP="00A10B0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2 – DO MÉRITO </w:t>
      </w:r>
    </w:p>
    <w:p w:rsidR="008D4F8F" w:rsidRPr="00296225" w:rsidRDefault="008D4F8F" w:rsidP="00063AA6">
      <w:pPr>
        <w:spacing w:after="0" w:line="240" w:lineRule="auto"/>
        <w:jc w:val="both"/>
        <w:rPr>
          <w:rFonts w:ascii="Arial" w:hAnsi="Arial" w:cs="Arial"/>
        </w:rPr>
      </w:pPr>
    </w:p>
    <w:p w:rsidR="00762CF0" w:rsidRPr="00296225" w:rsidRDefault="008D4F8F" w:rsidP="00D95644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911055">
        <w:rPr>
          <w:rFonts w:ascii="Arial" w:hAnsi="Arial" w:cs="Arial"/>
        </w:rPr>
        <w:t xml:space="preserve">A análise foi efetuada, com base nos documentos e informações que compõem </w:t>
      </w:r>
      <w:r w:rsidR="00BA3C23" w:rsidRPr="00911055">
        <w:rPr>
          <w:rFonts w:ascii="Arial" w:hAnsi="Arial" w:cs="Arial"/>
        </w:rPr>
        <w:t xml:space="preserve">o Processo nº: 2100-001070/2017, encaminhados a esta Controladoria Geral do Estado – CGE, para análise e manifestação técnica, quanto </w:t>
      </w:r>
      <w:r w:rsidR="00D95644" w:rsidRPr="00911055">
        <w:rPr>
          <w:rFonts w:ascii="Arial" w:hAnsi="Arial" w:cs="Arial"/>
        </w:rPr>
        <w:t>à</w:t>
      </w:r>
      <w:r w:rsidR="00AA341C" w:rsidRPr="00911055">
        <w:rPr>
          <w:rFonts w:ascii="Arial" w:hAnsi="Arial" w:cs="Arial"/>
        </w:rPr>
        <w:t xml:space="preserve"> p</w:t>
      </w:r>
      <w:r w:rsidR="00762CF0" w:rsidRPr="00911055">
        <w:rPr>
          <w:rFonts w:ascii="Arial" w:hAnsi="Arial" w:cs="Arial"/>
        </w:rPr>
        <w:t>restação de conta</w:t>
      </w:r>
      <w:r w:rsidR="00BA3C23" w:rsidRPr="00911055">
        <w:rPr>
          <w:rFonts w:ascii="Arial" w:hAnsi="Arial" w:cs="Arial"/>
        </w:rPr>
        <w:t>s de adiantamento de numerário</w:t>
      </w:r>
      <w:r w:rsidR="00BA3C23">
        <w:rPr>
          <w:rFonts w:ascii="Arial" w:hAnsi="Arial" w:cs="Arial"/>
        </w:rPr>
        <w:t>,</w:t>
      </w:r>
      <w:r w:rsidR="007733EB">
        <w:rPr>
          <w:rFonts w:ascii="Arial" w:hAnsi="Arial" w:cs="Arial"/>
        </w:rPr>
        <w:t xml:space="preserve"> </w:t>
      </w:r>
      <w:r w:rsidR="00762CF0" w:rsidRPr="00296225">
        <w:rPr>
          <w:rFonts w:ascii="Arial" w:hAnsi="Arial" w:cs="Arial"/>
        </w:rPr>
        <w:t xml:space="preserve">relativa </w:t>
      </w:r>
      <w:r w:rsidR="00AA341C" w:rsidRPr="00296225">
        <w:rPr>
          <w:rFonts w:ascii="Arial" w:hAnsi="Arial" w:cs="Arial"/>
        </w:rPr>
        <w:t>à</w:t>
      </w:r>
      <w:r w:rsidR="00762CF0" w:rsidRPr="00296225">
        <w:rPr>
          <w:rFonts w:ascii="Arial" w:hAnsi="Arial" w:cs="Arial"/>
        </w:rPr>
        <w:t xml:space="preserve"> despesa com aquisição de </w:t>
      </w:r>
      <w:r w:rsidR="00263324">
        <w:rPr>
          <w:rFonts w:ascii="Arial" w:hAnsi="Arial" w:cs="Arial"/>
        </w:rPr>
        <w:t xml:space="preserve">disco rígido externo </w:t>
      </w:r>
      <w:r w:rsidR="00263324" w:rsidRPr="00263324">
        <w:rPr>
          <w:rFonts w:ascii="Arial" w:hAnsi="Arial" w:cs="Arial"/>
        </w:rPr>
        <w:t>(HD externo)</w:t>
      </w:r>
      <w:r w:rsidR="00E0628B">
        <w:rPr>
          <w:rFonts w:ascii="Arial" w:hAnsi="Arial" w:cs="Arial"/>
        </w:rPr>
        <w:t xml:space="preserve"> </w:t>
      </w:r>
      <w:r w:rsidR="00762CF0" w:rsidRPr="00296225">
        <w:rPr>
          <w:rFonts w:ascii="Arial" w:hAnsi="Arial" w:cs="Arial"/>
        </w:rPr>
        <w:t xml:space="preserve">e </w:t>
      </w:r>
      <w:r w:rsidR="00911055">
        <w:rPr>
          <w:rFonts w:ascii="Arial" w:hAnsi="Arial" w:cs="Arial"/>
        </w:rPr>
        <w:t>dirimir dú</w:t>
      </w:r>
      <w:r w:rsidR="00DF4FDB" w:rsidRPr="00296225">
        <w:rPr>
          <w:rFonts w:ascii="Arial" w:hAnsi="Arial" w:cs="Arial"/>
        </w:rPr>
        <w:t>vidas</w:t>
      </w:r>
      <w:r w:rsidR="00BA3C23">
        <w:rPr>
          <w:rFonts w:ascii="Arial" w:hAnsi="Arial" w:cs="Arial"/>
        </w:rPr>
        <w:t xml:space="preserve">, se este </w:t>
      </w:r>
      <w:r w:rsidR="006E32C6" w:rsidRPr="00296225">
        <w:rPr>
          <w:rFonts w:ascii="Arial" w:hAnsi="Arial" w:cs="Arial"/>
        </w:rPr>
        <w:t>bem</w:t>
      </w:r>
      <w:r w:rsidR="00BA3C23">
        <w:rPr>
          <w:rFonts w:ascii="Arial" w:hAnsi="Arial" w:cs="Arial"/>
        </w:rPr>
        <w:t xml:space="preserve"> </w:t>
      </w:r>
      <w:r w:rsidR="00DD57D9" w:rsidRPr="00296225">
        <w:rPr>
          <w:rFonts w:ascii="Arial" w:hAnsi="Arial" w:cs="Arial"/>
        </w:rPr>
        <w:t xml:space="preserve">trata-se de consumo ou material </w:t>
      </w:r>
      <w:r w:rsidR="0019091F" w:rsidRPr="00296225">
        <w:rPr>
          <w:rFonts w:ascii="Arial" w:hAnsi="Arial" w:cs="Arial"/>
        </w:rPr>
        <w:t>permanente</w:t>
      </w:r>
      <w:r w:rsidR="00E0628B">
        <w:rPr>
          <w:rFonts w:ascii="Arial" w:hAnsi="Arial" w:cs="Arial"/>
        </w:rPr>
        <w:t xml:space="preserve">, </w:t>
      </w:r>
      <w:r w:rsidR="00E0628B" w:rsidRPr="00022540">
        <w:rPr>
          <w:rFonts w:ascii="Arial" w:hAnsi="Arial" w:cs="Arial"/>
        </w:rPr>
        <w:t xml:space="preserve"> </w:t>
      </w:r>
      <w:r w:rsidR="00D95644" w:rsidRPr="00022540">
        <w:rPr>
          <w:rFonts w:ascii="Arial" w:hAnsi="Arial" w:cs="Arial"/>
        </w:rPr>
        <w:t>atendendo</w:t>
      </w:r>
      <w:r w:rsidR="00D95644">
        <w:rPr>
          <w:rFonts w:ascii="Arial" w:hAnsi="Arial" w:cs="Arial"/>
        </w:rPr>
        <w:t xml:space="preserve"> </w:t>
      </w:r>
      <w:r w:rsidR="005A5159">
        <w:rPr>
          <w:rFonts w:ascii="Arial" w:hAnsi="Arial" w:cs="Arial"/>
        </w:rPr>
        <w:t xml:space="preserve"> ao </w:t>
      </w:r>
      <w:r w:rsidR="00263324">
        <w:rPr>
          <w:rFonts w:ascii="Arial" w:hAnsi="Arial" w:cs="Arial"/>
        </w:rPr>
        <w:t xml:space="preserve">que determina a sua aplicação </w:t>
      </w:r>
      <w:r w:rsidR="0019091F" w:rsidRPr="00296225">
        <w:rPr>
          <w:rFonts w:ascii="Arial" w:hAnsi="Arial" w:cs="Arial"/>
        </w:rPr>
        <w:t xml:space="preserve"> l</w:t>
      </w:r>
      <w:r w:rsidR="00BA3C23">
        <w:rPr>
          <w:rFonts w:ascii="Arial" w:hAnsi="Arial" w:cs="Arial"/>
        </w:rPr>
        <w:t>egal</w:t>
      </w:r>
      <w:r w:rsidR="00762CF0" w:rsidRPr="00296225">
        <w:rPr>
          <w:rFonts w:ascii="Arial" w:hAnsi="Arial" w:cs="Arial"/>
        </w:rPr>
        <w:t xml:space="preserve">. </w:t>
      </w:r>
    </w:p>
    <w:p w:rsidR="0019091F" w:rsidRPr="00296225" w:rsidRDefault="0019091F" w:rsidP="00296225">
      <w:pPr>
        <w:spacing w:after="0" w:line="240" w:lineRule="auto"/>
        <w:jc w:val="both"/>
        <w:rPr>
          <w:rFonts w:ascii="Arial" w:hAnsi="Arial" w:cs="Arial"/>
        </w:rPr>
      </w:pPr>
    </w:p>
    <w:p w:rsidR="00E11713" w:rsidRPr="00063AA6" w:rsidRDefault="00E11713" w:rsidP="00063AA6">
      <w:pPr>
        <w:pStyle w:val="PargrafodaLista"/>
        <w:numPr>
          <w:ilvl w:val="1"/>
          <w:numId w:val="14"/>
        </w:numPr>
        <w:spacing w:after="0" w:line="240" w:lineRule="auto"/>
        <w:rPr>
          <w:rFonts w:ascii="Arial" w:hAnsi="Arial" w:cs="Arial"/>
        </w:rPr>
      </w:pPr>
      <w:r w:rsidRPr="00063AA6">
        <w:rPr>
          <w:rFonts w:ascii="Arial" w:hAnsi="Arial" w:cs="Arial"/>
        </w:rPr>
        <w:t xml:space="preserve">Conforme disposto na Instrução </w:t>
      </w:r>
      <w:r w:rsidRPr="00063AA6">
        <w:rPr>
          <w:rFonts w:ascii="Arial" w:hAnsi="Arial" w:cs="Arial"/>
          <w:b/>
        </w:rPr>
        <w:t>Normativa do Ministério Público Federal</w:t>
      </w:r>
      <w:r w:rsidRPr="00063AA6">
        <w:rPr>
          <w:rFonts w:ascii="Arial" w:hAnsi="Arial" w:cs="Arial"/>
        </w:rPr>
        <w:t xml:space="preserve"> -</w:t>
      </w:r>
      <w:r w:rsidRPr="00063AA6">
        <w:rPr>
          <w:rFonts w:ascii="Arial" w:hAnsi="Arial" w:cs="Arial"/>
          <w:b/>
        </w:rPr>
        <w:t xml:space="preserve"> MPF</w:t>
      </w:r>
      <w:r w:rsidRPr="00063AA6">
        <w:rPr>
          <w:rFonts w:ascii="Arial" w:hAnsi="Arial" w:cs="Arial"/>
        </w:rPr>
        <w:t xml:space="preserve"> Portaria SG nº 383, de 19 de agosto de 1993.</w:t>
      </w:r>
    </w:p>
    <w:p w:rsidR="00E11713" w:rsidRPr="00296225" w:rsidRDefault="00E11713" w:rsidP="00296225">
      <w:pPr>
        <w:spacing w:after="0" w:line="240" w:lineRule="auto"/>
        <w:jc w:val="both"/>
        <w:rPr>
          <w:rFonts w:ascii="Arial" w:hAnsi="Arial" w:cs="Arial"/>
          <w:b/>
        </w:rPr>
      </w:pPr>
    </w:p>
    <w:p w:rsidR="00E11713" w:rsidRPr="00063AA6" w:rsidRDefault="00E11713" w:rsidP="00296225">
      <w:pPr>
        <w:spacing w:after="0" w:line="24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063AA6">
        <w:rPr>
          <w:rFonts w:ascii="Arial" w:hAnsi="Arial" w:cs="Arial"/>
          <w:b/>
          <w:sz w:val="20"/>
          <w:szCs w:val="20"/>
        </w:rPr>
        <w:t xml:space="preserve">4. DO REGISTRO PATRIMONIAL (TOMBAMENTO) </w:t>
      </w:r>
    </w:p>
    <w:p w:rsidR="00E11713" w:rsidRPr="00063AA6" w:rsidRDefault="00E11713" w:rsidP="002962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11713" w:rsidRPr="00063AA6" w:rsidRDefault="00E11713" w:rsidP="0029622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063AA6">
        <w:rPr>
          <w:rFonts w:ascii="Arial" w:hAnsi="Arial" w:cs="Arial"/>
          <w:sz w:val="20"/>
          <w:szCs w:val="20"/>
        </w:rPr>
        <w:t>4.1 o registro patrimonial dos bens móveis far-se-á de forma analítica, conforme subitens 4.2, 4.3, 4.4, 4.5 e 4.6. Na forma sintética, através de inscrição no Ativo Imobiliário (SIAFI), seguindo-se de registros contábeis que evidenciem o Acervo Patrimonial do MPF.</w:t>
      </w:r>
    </w:p>
    <w:p w:rsidR="00E11713" w:rsidRPr="00063AA6" w:rsidRDefault="00E11713" w:rsidP="0029622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E11713" w:rsidRPr="00063AA6" w:rsidRDefault="00E11713" w:rsidP="00296225">
      <w:pPr>
        <w:spacing w:after="0" w:line="24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063AA6">
        <w:rPr>
          <w:rFonts w:ascii="Arial" w:hAnsi="Arial" w:cs="Arial"/>
          <w:sz w:val="20"/>
          <w:szCs w:val="20"/>
        </w:rPr>
        <w:t>4.2 o registro analítico dos bens permanentes deverá conter a indicação dos elementos necessários à sua caracterização, bem como os agentes responsáveis pela sua guarda e administração.</w:t>
      </w:r>
    </w:p>
    <w:p w:rsidR="00DF4FDB" w:rsidRPr="00296225" w:rsidRDefault="00DF4FDB" w:rsidP="00296225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11713" w:rsidRPr="00063AA6" w:rsidRDefault="00E11713" w:rsidP="00063AA6">
      <w:pPr>
        <w:pStyle w:val="PargrafodaLista"/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r w:rsidRPr="00063AA6">
        <w:rPr>
          <w:rFonts w:ascii="Arial" w:hAnsi="Arial" w:cs="Arial"/>
        </w:rPr>
        <w:t xml:space="preserve">Conforme </w:t>
      </w:r>
      <w:r w:rsidR="00F73280" w:rsidRPr="00063AA6">
        <w:rPr>
          <w:rFonts w:ascii="Arial" w:hAnsi="Arial" w:cs="Arial"/>
        </w:rPr>
        <w:t xml:space="preserve">disposto </w:t>
      </w:r>
      <w:r w:rsidR="00F73280" w:rsidRPr="00063AA6">
        <w:rPr>
          <w:rFonts w:ascii="Arial" w:hAnsi="Arial" w:cs="Arial"/>
          <w:b/>
        </w:rPr>
        <w:t>Decreto nº 37.119 de março de 1997</w:t>
      </w:r>
      <w:r w:rsidR="00F73280" w:rsidRPr="00063AA6">
        <w:rPr>
          <w:rFonts w:ascii="Arial" w:hAnsi="Arial" w:cs="Arial"/>
        </w:rPr>
        <w:t xml:space="preserve">, </w:t>
      </w:r>
      <w:r w:rsidR="00F73280" w:rsidRPr="00063AA6">
        <w:rPr>
          <w:rFonts w:ascii="Arial" w:hAnsi="Arial" w:cs="Arial"/>
          <w:b/>
        </w:rPr>
        <w:t xml:space="preserve">art. </w:t>
      </w:r>
      <w:r w:rsidR="00D20FC2" w:rsidRPr="00063AA6">
        <w:rPr>
          <w:rFonts w:ascii="Arial" w:hAnsi="Arial" w:cs="Arial"/>
          <w:b/>
        </w:rPr>
        <w:t>3º,</w:t>
      </w:r>
      <w:r w:rsidR="00F73280" w:rsidRPr="00063AA6">
        <w:rPr>
          <w:rFonts w:ascii="Arial" w:hAnsi="Arial" w:cs="Arial"/>
          <w:b/>
        </w:rPr>
        <w:t xml:space="preserve"> inciso I</w:t>
      </w:r>
      <w:r w:rsidR="00F73280" w:rsidRPr="00063AA6">
        <w:rPr>
          <w:rFonts w:ascii="Arial" w:hAnsi="Arial" w:cs="Arial"/>
        </w:rPr>
        <w:t xml:space="preserve"> e </w:t>
      </w:r>
      <w:r w:rsidR="00F73280" w:rsidRPr="00063AA6">
        <w:rPr>
          <w:rFonts w:ascii="Arial" w:hAnsi="Arial" w:cs="Arial"/>
          <w:b/>
        </w:rPr>
        <w:t>Parágrafo Único</w:t>
      </w:r>
      <w:r w:rsidR="00F73280" w:rsidRPr="00063AA6">
        <w:rPr>
          <w:rFonts w:ascii="Arial" w:hAnsi="Arial" w:cs="Arial"/>
        </w:rPr>
        <w:t xml:space="preserve">, </w:t>
      </w:r>
      <w:r w:rsidR="00D20FC2" w:rsidRPr="00063AA6">
        <w:rPr>
          <w:rFonts w:ascii="Arial" w:hAnsi="Arial" w:cs="Arial"/>
        </w:rPr>
        <w:t>p</w:t>
      </w:r>
      <w:r w:rsidR="00F73280" w:rsidRPr="00063AA6">
        <w:rPr>
          <w:rFonts w:ascii="Arial" w:hAnsi="Arial" w:cs="Arial"/>
        </w:rPr>
        <w:t xml:space="preserve">oderão ser </w:t>
      </w:r>
      <w:r w:rsidR="00D20FC2" w:rsidRPr="00063AA6">
        <w:rPr>
          <w:rFonts w:ascii="Arial" w:hAnsi="Arial" w:cs="Arial"/>
        </w:rPr>
        <w:t>realizados</w:t>
      </w:r>
      <w:r w:rsidR="00F73280" w:rsidRPr="00063AA6">
        <w:rPr>
          <w:rFonts w:ascii="Arial" w:hAnsi="Arial" w:cs="Arial"/>
        </w:rPr>
        <w:t xml:space="preserve"> por meio de Adiantamento, as seguintes despesas:</w:t>
      </w:r>
    </w:p>
    <w:p w:rsidR="00C237FB" w:rsidRPr="00296225" w:rsidRDefault="00C237FB" w:rsidP="00296225">
      <w:pPr>
        <w:spacing w:after="0" w:line="240" w:lineRule="auto"/>
        <w:ind w:left="2268"/>
        <w:jc w:val="both"/>
        <w:rPr>
          <w:rFonts w:ascii="Arial" w:hAnsi="Arial" w:cs="Arial"/>
        </w:rPr>
      </w:pPr>
    </w:p>
    <w:p w:rsidR="00D20FC2" w:rsidRPr="00063AA6" w:rsidRDefault="00517B03" w:rsidP="00063AA6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063AA6">
        <w:rPr>
          <w:rFonts w:ascii="Arial" w:hAnsi="Arial" w:cs="Arial"/>
          <w:sz w:val="20"/>
          <w:szCs w:val="20"/>
        </w:rPr>
        <w:t>[...],</w:t>
      </w:r>
      <w:r w:rsidR="00AA341C" w:rsidRPr="00063AA6">
        <w:rPr>
          <w:rFonts w:ascii="Arial" w:hAnsi="Arial" w:cs="Arial"/>
          <w:sz w:val="20"/>
          <w:szCs w:val="20"/>
        </w:rPr>
        <w:t xml:space="preserve"> </w:t>
      </w:r>
      <w:r w:rsidR="00D20FC2" w:rsidRPr="00063AA6">
        <w:rPr>
          <w:rFonts w:ascii="Arial" w:hAnsi="Arial" w:cs="Arial"/>
          <w:b/>
          <w:sz w:val="20"/>
          <w:szCs w:val="20"/>
        </w:rPr>
        <w:t xml:space="preserve">I </w:t>
      </w:r>
      <w:r w:rsidR="00D20FC2" w:rsidRPr="00063AA6">
        <w:rPr>
          <w:rFonts w:ascii="Arial" w:hAnsi="Arial" w:cs="Arial"/>
          <w:sz w:val="20"/>
          <w:szCs w:val="20"/>
        </w:rPr>
        <w:t>– De pequeno valor pecuniário e de pronto pagamento, entendidas como tais as que devem ser efetuada para atender a necessidade</w:t>
      </w:r>
      <w:r w:rsidR="00AA341C" w:rsidRPr="00063AA6">
        <w:rPr>
          <w:rFonts w:ascii="Arial" w:hAnsi="Arial" w:cs="Arial"/>
          <w:sz w:val="20"/>
          <w:szCs w:val="20"/>
        </w:rPr>
        <w:t>s</w:t>
      </w:r>
      <w:r w:rsidR="00D20FC2" w:rsidRPr="00063AA6">
        <w:rPr>
          <w:rFonts w:ascii="Arial" w:hAnsi="Arial" w:cs="Arial"/>
          <w:sz w:val="20"/>
          <w:szCs w:val="20"/>
        </w:rPr>
        <w:t xml:space="preserve"> inadiáveis do serviço público, como: </w:t>
      </w:r>
    </w:p>
    <w:p w:rsidR="00D20FC2" w:rsidRPr="00063AA6" w:rsidRDefault="00D20FC2" w:rsidP="00296225">
      <w:pPr>
        <w:pStyle w:val="PargrafodaLista"/>
        <w:numPr>
          <w:ilvl w:val="0"/>
          <w:numId w:val="11"/>
        </w:numPr>
        <w:spacing w:before="0" w:after="0" w:line="240" w:lineRule="auto"/>
        <w:ind w:left="2268" w:firstLine="0"/>
        <w:rPr>
          <w:rFonts w:ascii="Arial" w:hAnsi="Arial" w:cs="Arial"/>
          <w:sz w:val="20"/>
          <w:szCs w:val="20"/>
        </w:rPr>
      </w:pPr>
      <w:r w:rsidRPr="00063AA6">
        <w:rPr>
          <w:rFonts w:ascii="Arial" w:hAnsi="Arial" w:cs="Arial"/>
          <w:sz w:val="20"/>
          <w:szCs w:val="20"/>
        </w:rPr>
        <w:t>Compras e serviços para atender urgência, emergência ou situações extr</w:t>
      </w:r>
      <w:r w:rsidR="00517B03" w:rsidRPr="00063AA6">
        <w:rPr>
          <w:rFonts w:ascii="Arial" w:hAnsi="Arial" w:cs="Arial"/>
          <w:sz w:val="20"/>
          <w:szCs w:val="20"/>
        </w:rPr>
        <w:t xml:space="preserve">aordinárias, que possam causar prejuízos ao Estado ou prejudicar o bom funcionamento do serviço público;    </w:t>
      </w:r>
    </w:p>
    <w:p w:rsidR="00AA341C" w:rsidRPr="00063AA6" w:rsidRDefault="00AA341C" w:rsidP="0029622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F73280" w:rsidRPr="00063AA6" w:rsidRDefault="00517B03" w:rsidP="0029622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063AA6">
        <w:rPr>
          <w:rFonts w:ascii="Arial" w:hAnsi="Arial" w:cs="Arial"/>
          <w:sz w:val="20"/>
          <w:szCs w:val="20"/>
        </w:rPr>
        <w:t>[...],</w:t>
      </w:r>
    </w:p>
    <w:p w:rsidR="00E11713" w:rsidRPr="00063AA6" w:rsidRDefault="00517B03" w:rsidP="00296225">
      <w:pPr>
        <w:spacing w:after="0" w:line="24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063AA6">
        <w:rPr>
          <w:rFonts w:ascii="Arial" w:hAnsi="Arial" w:cs="Arial"/>
          <w:b/>
          <w:sz w:val="20"/>
          <w:szCs w:val="20"/>
        </w:rPr>
        <w:t>Parágrafo Único</w:t>
      </w:r>
      <w:r w:rsidRPr="00063AA6">
        <w:rPr>
          <w:rFonts w:ascii="Arial" w:hAnsi="Arial" w:cs="Arial"/>
          <w:sz w:val="20"/>
          <w:szCs w:val="20"/>
        </w:rPr>
        <w:t xml:space="preserve"> </w:t>
      </w:r>
      <w:r w:rsidR="009D1C92" w:rsidRPr="00063AA6">
        <w:rPr>
          <w:rFonts w:ascii="Arial" w:hAnsi="Arial" w:cs="Arial"/>
          <w:sz w:val="20"/>
          <w:szCs w:val="20"/>
        </w:rPr>
        <w:t>– È p</w:t>
      </w:r>
      <w:r w:rsidR="00AA341C" w:rsidRPr="00063AA6">
        <w:rPr>
          <w:rFonts w:ascii="Arial" w:hAnsi="Arial" w:cs="Arial"/>
          <w:sz w:val="20"/>
          <w:szCs w:val="20"/>
        </w:rPr>
        <w:t>roibido a aquisição de equipamentos e material permanente com recursos proventos de Adiantamento.  [...].</w:t>
      </w:r>
    </w:p>
    <w:p w:rsidR="00E11713" w:rsidRPr="00063AA6" w:rsidRDefault="00E11713" w:rsidP="0029622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6E32C6" w:rsidRPr="00296225" w:rsidRDefault="00762CF0" w:rsidP="00296225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96225">
        <w:rPr>
          <w:rFonts w:ascii="Arial" w:hAnsi="Arial" w:cs="Arial"/>
        </w:rPr>
        <w:t>É mister  informar que e</w:t>
      </w:r>
      <w:r w:rsidR="00DF4FDB" w:rsidRPr="00296225">
        <w:rPr>
          <w:rFonts w:ascii="Arial" w:hAnsi="Arial" w:cs="Arial"/>
        </w:rPr>
        <w:t xml:space="preserve">xistem pareceres de entendimentos antagônicos, oriundos </w:t>
      </w:r>
      <w:r w:rsidR="005B3BAA">
        <w:rPr>
          <w:rFonts w:ascii="Arial" w:hAnsi="Arial" w:cs="Arial"/>
        </w:rPr>
        <w:t>de diferentes Órgãos da esfera F</w:t>
      </w:r>
      <w:r w:rsidR="00DF4FDB" w:rsidRPr="00296225">
        <w:rPr>
          <w:rFonts w:ascii="Arial" w:hAnsi="Arial" w:cs="Arial"/>
        </w:rPr>
        <w:t>ederal, visto que hora tratam estes bens como de consumo, h</w:t>
      </w:r>
      <w:r w:rsidR="00B067FD" w:rsidRPr="00296225">
        <w:rPr>
          <w:rFonts w:ascii="Arial" w:hAnsi="Arial" w:cs="Arial"/>
        </w:rPr>
        <w:t>ora como bens permanentes</w:t>
      </w:r>
      <w:r w:rsidR="00725D39" w:rsidRPr="00296225">
        <w:rPr>
          <w:rFonts w:ascii="Arial" w:hAnsi="Arial" w:cs="Arial"/>
        </w:rPr>
        <w:t xml:space="preserve">, </w:t>
      </w:r>
      <w:r w:rsidR="00B067FD" w:rsidRPr="00296225">
        <w:rPr>
          <w:rFonts w:ascii="Arial" w:hAnsi="Arial" w:cs="Arial"/>
        </w:rPr>
        <w:t xml:space="preserve"> </w:t>
      </w:r>
      <w:r w:rsidR="00AD2ADE" w:rsidRPr="00296225">
        <w:rPr>
          <w:rFonts w:ascii="Arial" w:hAnsi="Arial" w:cs="Arial"/>
        </w:rPr>
        <w:t xml:space="preserve"> considerado ou não equipamento permanente</w:t>
      </w:r>
      <w:r w:rsidR="008F0587" w:rsidRPr="00296225">
        <w:rPr>
          <w:rFonts w:ascii="Arial" w:hAnsi="Arial" w:cs="Arial"/>
        </w:rPr>
        <w:t xml:space="preserve">. </w:t>
      </w:r>
    </w:p>
    <w:p w:rsidR="00F405BF" w:rsidRPr="00296225" w:rsidRDefault="00F405BF" w:rsidP="00296225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96225">
        <w:rPr>
          <w:rFonts w:ascii="Arial" w:hAnsi="Arial" w:cs="Arial"/>
        </w:rPr>
        <w:t xml:space="preserve">Da forma em que se apresenta a situação, referente ao bem adquirido </w:t>
      </w:r>
      <w:r w:rsidR="00263324">
        <w:rPr>
          <w:rFonts w:ascii="Arial" w:hAnsi="Arial" w:cs="Arial"/>
        </w:rPr>
        <w:t xml:space="preserve">disco rígido externo </w:t>
      </w:r>
      <w:r w:rsidR="00263324" w:rsidRPr="00263324">
        <w:rPr>
          <w:rFonts w:ascii="Arial" w:hAnsi="Arial" w:cs="Arial"/>
        </w:rPr>
        <w:t>(HD externo)</w:t>
      </w:r>
      <w:r w:rsidRPr="00296225">
        <w:rPr>
          <w:rFonts w:ascii="Arial" w:hAnsi="Arial" w:cs="Arial"/>
        </w:rPr>
        <w:t>, não são incorporados ao patrimônio da SSP e não necessitará de controle patrimonial</w:t>
      </w:r>
      <w:r w:rsidR="00911055">
        <w:rPr>
          <w:rFonts w:ascii="Arial" w:hAnsi="Arial" w:cs="Arial"/>
        </w:rPr>
        <w:t xml:space="preserve">. Com isso, </w:t>
      </w:r>
      <w:r w:rsidRPr="00296225">
        <w:rPr>
          <w:rFonts w:ascii="Arial" w:hAnsi="Arial" w:cs="Arial"/>
        </w:rPr>
        <w:t>cumprirá funç</w:t>
      </w:r>
      <w:r w:rsidR="00671799">
        <w:rPr>
          <w:rFonts w:ascii="Arial" w:hAnsi="Arial" w:cs="Arial"/>
        </w:rPr>
        <w:t>ão semelhante à dos DVDs que</w:t>
      </w:r>
      <w:r w:rsidRPr="00296225">
        <w:rPr>
          <w:rFonts w:ascii="Arial" w:hAnsi="Arial" w:cs="Arial"/>
        </w:rPr>
        <w:t xml:space="preserve"> em geral,  são classificados como material de consumo, conforme disposto na  Instrução Normativa do MPF/SG/AS/Nº 001/93 e Portaria SG nº 383, de 19 de agosto de 1993. </w:t>
      </w:r>
    </w:p>
    <w:p w:rsidR="00F405BF" w:rsidRDefault="00F405BF" w:rsidP="00296225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A10B05" w:rsidRDefault="00A10B05" w:rsidP="00A10B0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3 - CONCLUSÃO</w:t>
      </w:r>
    </w:p>
    <w:p w:rsidR="00A10B05" w:rsidRPr="00296225" w:rsidRDefault="00A10B05" w:rsidP="00296225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F405BF" w:rsidRPr="00D30283" w:rsidRDefault="00F405BF" w:rsidP="00296225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D30283">
        <w:rPr>
          <w:rFonts w:ascii="Arial" w:hAnsi="Arial" w:cs="Arial"/>
        </w:rPr>
        <w:t xml:space="preserve">Em face do exposto, somos de </w:t>
      </w:r>
      <w:r w:rsidR="00671799" w:rsidRPr="00911055">
        <w:rPr>
          <w:rFonts w:ascii="Arial" w:hAnsi="Arial" w:cs="Arial"/>
          <w:spacing w:val="2"/>
          <w:shd w:val="clear" w:color="auto" w:fill="FFFFFF"/>
        </w:rPr>
        <w:t>parecer favorável</w:t>
      </w:r>
      <w:r w:rsidRPr="00911055">
        <w:rPr>
          <w:rFonts w:ascii="Arial" w:hAnsi="Arial" w:cs="Arial"/>
        </w:rPr>
        <w:t>,</w:t>
      </w:r>
      <w:r w:rsidRPr="00D30283">
        <w:rPr>
          <w:rFonts w:ascii="Arial" w:hAnsi="Arial" w:cs="Arial"/>
        </w:rPr>
        <w:t xml:space="preserve"> no caso em exame, </w:t>
      </w:r>
      <w:r w:rsidR="00F32C9C" w:rsidRPr="00D30283">
        <w:rPr>
          <w:rFonts w:ascii="Arial" w:hAnsi="Arial" w:cs="Arial"/>
        </w:rPr>
        <w:t xml:space="preserve">pois </w:t>
      </w:r>
      <w:r w:rsidR="00263324" w:rsidRPr="00D30283">
        <w:rPr>
          <w:rFonts w:ascii="Arial" w:hAnsi="Arial" w:cs="Arial"/>
        </w:rPr>
        <w:t>o disco rígido externo (HD externo</w:t>
      </w:r>
      <w:r w:rsidR="00F32C9C" w:rsidRPr="00D30283">
        <w:rPr>
          <w:rFonts w:ascii="Arial" w:hAnsi="Arial" w:cs="Arial"/>
        </w:rPr>
        <w:t>)</w:t>
      </w:r>
      <w:r w:rsidR="003A2584">
        <w:rPr>
          <w:rFonts w:ascii="Arial" w:hAnsi="Arial" w:cs="Arial"/>
        </w:rPr>
        <w:t xml:space="preserve"> </w:t>
      </w:r>
      <w:r w:rsidR="00D30283" w:rsidRPr="00D30283">
        <w:rPr>
          <w:rFonts w:ascii="Arial" w:hAnsi="Arial" w:cs="Arial"/>
        </w:rPr>
        <w:t>pode ser</w:t>
      </w:r>
      <w:r w:rsidR="006F69BF" w:rsidRPr="00D30283">
        <w:rPr>
          <w:rFonts w:ascii="Arial" w:hAnsi="Arial" w:cs="Arial"/>
        </w:rPr>
        <w:t xml:space="preserve"> </w:t>
      </w:r>
      <w:r w:rsidR="00D30283" w:rsidRPr="00D30283">
        <w:rPr>
          <w:rFonts w:ascii="Arial" w:hAnsi="Arial" w:cs="Arial"/>
        </w:rPr>
        <w:t>classificado e adquirido</w:t>
      </w:r>
      <w:r w:rsidRPr="00D30283">
        <w:rPr>
          <w:rFonts w:ascii="Arial" w:hAnsi="Arial" w:cs="Arial"/>
        </w:rPr>
        <w:t xml:space="preserve"> como material de consumo</w:t>
      </w:r>
      <w:r w:rsidR="009D1C92" w:rsidRPr="00D30283">
        <w:rPr>
          <w:rFonts w:ascii="Arial" w:hAnsi="Arial" w:cs="Arial"/>
        </w:rPr>
        <w:t>.</w:t>
      </w:r>
      <w:r w:rsidR="004E68C2" w:rsidRPr="00D30283">
        <w:rPr>
          <w:rFonts w:ascii="Arial" w:hAnsi="Arial" w:cs="Arial"/>
        </w:rPr>
        <w:t xml:space="preserve"> </w:t>
      </w:r>
    </w:p>
    <w:p w:rsidR="005C1B82" w:rsidRPr="00911055" w:rsidRDefault="00A10B05" w:rsidP="0029622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Isto posto, evoluímos os autos ao </w:t>
      </w:r>
      <w:r w:rsidRPr="00296225">
        <w:rPr>
          <w:rFonts w:ascii="Arial" w:hAnsi="Arial" w:cs="Arial"/>
        </w:rPr>
        <w:t>Gabinete da Controladora Geral do Estado</w:t>
      </w:r>
      <w:r w:rsidR="00063AA6">
        <w:rPr>
          <w:rFonts w:ascii="Arial" w:hAnsi="Arial" w:cs="Arial"/>
        </w:rPr>
        <w:t xml:space="preserve">, para conhecimento da análise apresentada e providencias que o caso requer e, em ato continua sugerimos o envio </w:t>
      </w:r>
      <w:r w:rsidR="00063AA6" w:rsidRPr="00296225">
        <w:rPr>
          <w:rFonts w:ascii="Arial" w:hAnsi="Arial" w:cs="Arial"/>
        </w:rPr>
        <w:t>a Secretaria</w:t>
      </w:r>
      <w:r w:rsidR="00911055">
        <w:rPr>
          <w:rFonts w:ascii="Arial" w:hAnsi="Arial" w:cs="Arial"/>
        </w:rPr>
        <w:t xml:space="preserve"> de Estado da Segurança Pública</w:t>
      </w:r>
      <w:r w:rsidR="00063AA6" w:rsidRPr="00911055">
        <w:rPr>
          <w:rFonts w:ascii="Arial" w:hAnsi="Arial" w:cs="Arial"/>
        </w:rPr>
        <w:t xml:space="preserve">. </w:t>
      </w:r>
    </w:p>
    <w:p w:rsidR="00D30283" w:rsidRDefault="00D30283" w:rsidP="00D3028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C0097" w:rsidRDefault="004D68CC" w:rsidP="00063AA6">
      <w:pPr>
        <w:pStyle w:val="SemEspaamento"/>
        <w:tabs>
          <w:tab w:val="left" w:pos="2268"/>
        </w:tabs>
        <w:ind w:firstLine="851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</w:t>
      </w:r>
      <w:r w:rsidR="00911055">
        <w:rPr>
          <w:rFonts w:ascii="Arial" w:hAnsi="Arial" w:cs="Arial"/>
        </w:rPr>
        <w:t>/Al, 08 de novembro</w:t>
      </w:r>
      <w:r w:rsidR="00CC0097" w:rsidRPr="006E32C6">
        <w:rPr>
          <w:rFonts w:ascii="Arial" w:hAnsi="Arial" w:cs="Arial"/>
        </w:rPr>
        <w:t xml:space="preserve"> de 2017.</w:t>
      </w:r>
    </w:p>
    <w:p w:rsidR="00911055" w:rsidRDefault="00911055" w:rsidP="00063AA6">
      <w:pPr>
        <w:pStyle w:val="SemEspaamento"/>
        <w:tabs>
          <w:tab w:val="left" w:pos="2268"/>
        </w:tabs>
        <w:ind w:firstLine="851"/>
        <w:jc w:val="center"/>
        <w:rPr>
          <w:rFonts w:ascii="Arial" w:hAnsi="Arial" w:cs="Arial"/>
        </w:rPr>
      </w:pPr>
    </w:p>
    <w:p w:rsidR="00911055" w:rsidRPr="006E32C6" w:rsidRDefault="00911055" w:rsidP="00063AA6">
      <w:pPr>
        <w:pStyle w:val="SemEspaamento"/>
        <w:tabs>
          <w:tab w:val="left" w:pos="2268"/>
        </w:tabs>
        <w:ind w:firstLine="851"/>
        <w:jc w:val="center"/>
        <w:rPr>
          <w:rFonts w:ascii="Arial" w:hAnsi="Arial" w:cs="Arial"/>
        </w:rPr>
      </w:pPr>
    </w:p>
    <w:p w:rsidR="00654736" w:rsidRPr="006E32C6" w:rsidRDefault="00654736" w:rsidP="00063AA6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D4F8F" w:rsidRPr="00911055" w:rsidRDefault="00CC0097" w:rsidP="00063AA6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11055">
        <w:rPr>
          <w:rFonts w:ascii="Arial" w:hAnsi="Arial" w:cs="Arial"/>
          <w:b/>
        </w:rPr>
        <w:t xml:space="preserve">                                                      Esmeraldina Correia da Rocha</w:t>
      </w:r>
    </w:p>
    <w:p w:rsidR="006B17A0" w:rsidRPr="00911055" w:rsidRDefault="00CC0097" w:rsidP="00063A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11055">
        <w:rPr>
          <w:rFonts w:ascii="Arial" w:hAnsi="Arial" w:cs="Arial"/>
          <w:b/>
        </w:rPr>
        <w:t xml:space="preserve">               Assessora de Controle Interno</w:t>
      </w:r>
      <w:r w:rsidR="00911055" w:rsidRPr="00911055">
        <w:rPr>
          <w:rFonts w:ascii="Arial" w:hAnsi="Arial" w:cs="Arial"/>
          <w:b/>
        </w:rPr>
        <w:t xml:space="preserve"> -</w:t>
      </w:r>
      <w:r w:rsidR="00F344C4" w:rsidRPr="00911055">
        <w:rPr>
          <w:rFonts w:ascii="Arial" w:hAnsi="Arial" w:cs="Arial"/>
          <w:b/>
        </w:rPr>
        <w:t xml:space="preserve">  </w:t>
      </w:r>
      <w:r w:rsidRPr="00911055">
        <w:rPr>
          <w:rFonts w:ascii="Arial" w:hAnsi="Arial" w:cs="Arial"/>
          <w:b/>
        </w:rPr>
        <w:t>Mat. nº 96-5</w:t>
      </w:r>
    </w:p>
    <w:p w:rsidR="008D4F8F" w:rsidRPr="00911055" w:rsidRDefault="00911055" w:rsidP="00063A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11055">
        <w:rPr>
          <w:rFonts w:ascii="Arial" w:hAnsi="Arial" w:cs="Arial"/>
        </w:rPr>
        <w:t>De a</w:t>
      </w:r>
      <w:r w:rsidR="008D4F8F" w:rsidRPr="00911055">
        <w:rPr>
          <w:rFonts w:ascii="Arial" w:hAnsi="Arial" w:cs="Arial"/>
        </w:rPr>
        <w:t>cordo</w:t>
      </w:r>
      <w:r w:rsidRPr="00911055">
        <w:rPr>
          <w:rFonts w:ascii="Arial" w:hAnsi="Arial" w:cs="Arial"/>
        </w:rPr>
        <w:t>.</w:t>
      </w:r>
    </w:p>
    <w:p w:rsidR="00006A92" w:rsidRPr="00911055" w:rsidRDefault="00006A92" w:rsidP="00063A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C0097" w:rsidRPr="00911055" w:rsidRDefault="00063AA6" w:rsidP="00063A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11055">
        <w:rPr>
          <w:rFonts w:ascii="Arial" w:hAnsi="Arial" w:cs="Arial"/>
          <w:b/>
        </w:rPr>
        <w:t xml:space="preserve">                          </w:t>
      </w:r>
      <w:r w:rsidR="00CC0097" w:rsidRPr="00911055">
        <w:rPr>
          <w:rFonts w:ascii="Arial" w:hAnsi="Arial" w:cs="Arial"/>
          <w:b/>
        </w:rPr>
        <w:t xml:space="preserve">                                  </w:t>
      </w:r>
    </w:p>
    <w:p w:rsidR="00654736" w:rsidRPr="00911055" w:rsidRDefault="00CC0097" w:rsidP="00063A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11055">
        <w:rPr>
          <w:rFonts w:ascii="Arial" w:hAnsi="Arial" w:cs="Arial"/>
          <w:b/>
        </w:rPr>
        <w:t xml:space="preserve">                                                              Fabrícia Costa</w:t>
      </w:r>
    </w:p>
    <w:p w:rsidR="00555C8B" w:rsidRPr="006E32C6" w:rsidRDefault="005E47EA" w:rsidP="00063A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11055">
        <w:rPr>
          <w:rFonts w:ascii="Arial" w:hAnsi="Arial" w:cs="Arial"/>
          <w:b/>
        </w:rPr>
        <w:t xml:space="preserve">                             </w:t>
      </w:r>
      <w:r w:rsidR="00CC0097" w:rsidRPr="00911055">
        <w:rPr>
          <w:rFonts w:ascii="Arial" w:hAnsi="Arial" w:cs="Arial"/>
          <w:b/>
        </w:rPr>
        <w:t>Superintendente de Controle Financeiro</w:t>
      </w:r>
      <w:r w:rsidR="00CC0097" w:rsidRPr="006E32C6">
        <w:rPr>
          <w:rFonts w:ascii="Arial" w:hAnsi="Arial" w:cs="Arial"/>
          <w:b/>
        </w:rPr>
        <w:t xml:space="preserve"> - SUCOF</w:t>
      </w:r>
    </w:p>
    <w:p w:rsidR="00555C8B" w:rsidRPr="006E32C6" w:rsidRDefault="005E47EA" w:rsidP="00063A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E32C6">
        <w:rPr>
          <w:rFonts w:ascii="Arial" w:hAnsi="Arial" w:cs="Arial"/>
          <w:b/>
        </w:rPr>
        <w:t xml:space="preserve">                                                             Mat. nº 131-7</w:t>
      </w:r>
    </w:p>
    <w:sectPr w:rsidR="00555C8B" w:rsidRPr="006E32C6" w:rsidSect="003068B9">
      <w:headerReference w:type="default" r:id="rId7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50D" w:rsidRDefault="002A550D" w:rsidP="003068B9">
      <w:pPr>
        <w:spacing w:after="0" w:line="240" w:lineRule="auto"/>
      </w:pPr>
      <w:r>
        <w:separator/>
      </w:r>
    </w:p>
  </w:endnote>
  <w:endnote w:type="continuationSeparator" w:id="1">
    <w:p w:rsidR="002A550D" w:rsidRDefault="002A55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50D" w:rsidRDefault="002A550D" w:rsidP="003068B9">
      <w:pPr>
        <w:spacing w:after="0" w:line="240" w:lineRule="auto"/>
      </w:pPr>
      <w:r>
        <w:separator/>
      </w:r>
    </w:p>
  </w:footnote>
  <w:footnote w:type="continuationSeparator" w:id="1">
    <w:p w:rsidR="002A550D" w:rsidRDefault="002A55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4D" w:rsidRDefault="00621A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CB5B4D" w:rsidRPr="0059532C" w:rsidRDefault="00CB5B4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CB5B4D" w:rsidRPr="003068B9" w:rsidRDefault="00CB5B4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A1A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7BEEB512"/>
    <w:lvl w:ilvl="0" w:tplc="2214DDFE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A01F6"/>
    <w:multiLevelType w:val="multilevel"/>
    <w:tmpl w:val="F5D0D4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213595C"/>
    <w:multiLevelType w:val="multilevel"/>
    <w:tmpl w:val="F15CDF9E"/>
    <w:lvl w:ilvl="0">
      <w:start w:val="2"/>
      <w:numFmt w:val="decimal"/>
      <w:pStyle w:val="N-num1"/>
      <w:lvlText w:val="%1."/>
      <w:lvlJc w:val="left"/>
      <w:pPr>
        <w:tabs>
          <w:tab w:val="num" w:pos="360"/>
        </w:tabs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pStyle w:val="N-num2"/>
      <w:lvlText w:val="%1.%2."/>
      <w:lvlJc w:val="left"/>
      <w:pPr>
        <w:tabs>
          <w:tab w:val="num" w:pos="360"/>
        </w:tabs>
      </w:pPr>
      <w:rPr>
        <w:rFonts w:ascii="Arial" w:hAnsi="Arial" w:hint="default"/>
        <w:b w:val="0"/>
        <w:i w:val="0"/>
        <w:sz w:val="18"/>
      </w:rPr>
    </w:lvl>
    <w:lvl w:ilvl="2">
      <w:start w:val="1"/>
      <w:numFmt w:val="decimal"/>
      <w:pStyle w:val="Normal-num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">
    <w:nsid w:val="2E162B2E"/>
    <w:multiLevelType w:val="hybridMultilevel"/>
    <w:tmpl w:val="7BEEB512"/>
    <w:lvl w:ilvl="0" w:tplc="2214DDFE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135B8"/>
    <w:multiLevelType w:val="hybridMultilevel"/>
    <w:tmpl w:val="161E044A"/>
    <w:lvl w:ilvl="0" w:tplc="0BEE0CBE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FC27249"/>
    <w:multiLevelType w:val="hybridMultilevel"/>
    <w:tmpl w:val="7BEEB512"/>
    <w:lvl w:ilvl="0" w:tplc="2214DDFE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53971"/>
    <w:multiLevelType w:val="hybridMultilevel"/>
    <w:tmpl w:val="49664E90"/>
    <w:lvl w:ilvl="0" w:tplc="D4C4DE6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64B0C28"/>
    <w:multiLevelType w:val="hybridMultilevel"/>
    <w:tmpl w:val="EE8E59FE"/>
    <w:lvl w:ilvl="0" w:tplc="F0AEEF1A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AE447F"/>
    <w:multiLevelType w:val="hybridMultilevel"/>
    <w:tmpl w:val="A6FEC758"/>
    <w:lvl w:ilvl="0" w:tplc="06BC9AA8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DF705CF"/>
    <w:multiLevelType w:val="multilevel"/>
    <w:tmpl w:val="27FE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08A47B3"/>
    <w:multiLevelType w:val="hybridMultilevel"/>
    <w:tmpl w:val="7BEEB512"/>
    <w:lvl w:ilvl="0" w:tplc="2214DDFE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C0764"/>
    <w:multiLevelType w:val="hybridMultilevel"/>
    <w:tmpl w:val="6A361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8749D"/>
    <w:multiLevelType w:val="multilevel"/>
    <w:tmpl w:val="11F2B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5EC34F2"/>
    <w:multiLevelType w:val="hybridMultilevel"/>
    <w:tmpl w:val="43EAB580"/>
    <w:lvl w:ilvl="0" w:tplc="77CE8B3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>
    <w:nsid w:val="7DCD7350"/>
    <w:multiLevelType w:val="hybridMultilevel"/>
    <w:tmpl w:val="7862D8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10"/>
  </w:num>
  <w:num w:numId="9">
    <w:abstractNumId w:val="2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72E"/>
    <w:rsid w:val="00006A0D"/>
    <w:rsid w:val="00006A92"/>
    <w:rsid w:val="00014269"/>
    <w:rsid w:val="00022540"/>
    <w:rsid w:val="00026768"/>
    <w:rsid w:val="00036DBB"/>
    <w:rsid w:val="00036F56"/>
    <w:rsid w:val="00063AA6"/>
    <w:rsid w:val="00076FF4"/>
    <w:rsid w:val="0008316C"/>
    <w:rsid w:val="000B5B3C"/>
    <w:rsid w:val="000E38D0"/>
    <w:rsid w:val="00100DE2"/>
    <w:rsid w:val="001126DB"/>
    <w:rsid w:val="00127487"/>
    <w:rsid w:val="00140F83"/>
    <w:rsid w:val="0014753C"/>
    <w:rsid w:val="0016173B"/>
    <w:rsid w:val="00165A16"/>
    <w:rsid w:val="001743CB"/>
    <w:rsid w:val="00176C94"/>
    <w:rsid w:val="0019091F"/>
    <w:rsid w:val="001A1A71"/>
    <w:rsid w:val="001A27DA"/>
    <w:rsid w:val="001B1388"/>
    <w:rsid w:val="001C2E54"/>
    <w:rsid w:val="001D36CE"/>
    <w:rsid w:val="001D6B3A"/>
    <w:rsid w:val="001E2E09"/>
    <w:rsid w:val="001E5B7A"/>
    <w:rsid w:val="001E6D65"/>
    <w:rsid w:val="0021007F"/>
    <w:rsid w:val="0023298A"/>
    <w:rsid w:val="00235DA0"/>
    <w:rsid w:val="00263324"/>
    <w:rsid w:val="00273191"/>
    <w:rsid w:val="002818E0"/>
    <w:rsid w:val="00287AEA"/>
    <w:rsid w:val="00296225"/>
    <w:rsid w:val="002A550D"/>
    <w:rsid w:val="002A7E78"/>
    <w:rsid w:val="002F1FF7"/>
    <w:rsid w:val="003007DC"/>
    <w:rsid w:val="0030317E"/>
    <w:rsid w:val="003068B9"/>
    <w:rsid w:val="00321D0A"/>
    <w:rsid w:val="00326786"/>
    <w:rsid w:val="00326CBF"/>
    <w:rsid w:val="00346D97"/>
    <w:rsid w:val="00355BFA"/>
    <w:rsid w:val="00372555"/>
    <w:rsid w:val="00383E70"/>
    <w:rsid w:val="00384385"/>
    <w:rsid w:val="00393E42"/>
    <w:rsid w:val="003A2584"/>
    <w:rsid w:val="003B0549"/>
    <w:rsid w:val="003C585C"/>
    <w:rsid w:val="003C67EF"/>
    <w:rsid w:val="003D0343"/>
    <w:rsid w:val="003D6263"/>
    <w:rsid w:val="003D692E"/>
    <w:rsid w:val="003F2978"/>
    <w:rsid w:val="003F41BA"/>
    <w:rsid w:val="00402772"/>
    <w:rsid w:val="00412AB0"/>
    <w:rsid w:val="004174BA"/>
    <w:rsid w:val="00433D55"/>
    <w:rsid w:val="00441419"/>
    <w:rsid w:val="0045678D"/>
    <w:rsid w:val="0045722E"/>
    <w:rsid w:val="00465B1C"/>
    <w:rsid w:val="0049785F"/>
    <w:rsid w:val="004B0021"/>
    <w:rsid w:val="004B0B05"/>
    <w:rsid w:val="004B7E12"/>
    <w:rsid w:val="004C16B1"/>
    <w:rsid w:val="004C1F5E"/>
    <w:rsid w:val="004D5DEF"/>
    <w:rsid w:val="004D68CC"/>
    <w:rsid w:val="004E1018"/>
    <w:rsid w:val="004E4ABF"/>
    <w:rsid w:val="004E68C2"/>
    <w:rsid w:val="0051480D"/>
    <w:rsid w:val="00515ABC"/>
    <w:rsid w:val="00517B03"/>
    <w:rsid w:val="00522414"/>
    <w:rsid w:val="005305D7"/>
    <w:rsid w:val="00542358"/>
    <w:rsid w:val="00551ACE"/>
    <w:rsid w:val="00555C8B"/>
    <w:rsid w:val="00566DC7"/>
    <w:rsid w:val="005709EB"/>
    <w:rsid w:val="00574275"/>
    <w:rsid w:val="0058664D"/>
    <w:rsid w:val="0059532C"/>
    <w:rsid w:val="005A4321"/>
    <w:rsid w:val="005A4EC7"/>
    <w:rsid w:val="005A5159"/>
    <w:rsid w:val="005A6216"/>
    <w:rsid w:val="005B2BE8"/>
    <w:rsid w:val="005B3BAA"/>
    <w:rsid w:val="005C1B82"/>
    <w:rsid w:val="005C4CD5"/>
    <w:rsid w:val="005D1DA3"/>
    <w:rsid w:val="005D51B3"/>
    <w:rsid w:val="005E0503"/>
    <w:rsid w:val="005E47EA"/>
    <w:rsid w:val="00602D6C"/>
    <w:rsid w:val="006068E3"/>
    <w:rsid w:val="00621AB7"/>
    <w:rsid w:val="00636CE4"/>
    <w:rsid w:val="006424F6"/>
    <w:rsid w:val="00645319"/>
    <w:rsid w:val="00654736"/>
    <w:rsid w:val="006573A8"/>
    <w:rsid w:val="00657564"/>
    <w:rsid w:val="006630F3"/>
    <w:rsid w:val="00671799"/>
    <w:rsid w:val="00687B8A"/>
    <w:rsid w:val="006918D3"/>
    <w:rsid w:val="00693659"/>
    <w:rsid w:val="0069756C"/>
    <w:rsid w:val="006B0FDC"/>
    <w:rsid w:val="006B17A0"/>
    <w:rsid w:val="006B31ED"/>
    <w:rsid w:val="006B4733"/>
    <w:rsid w:val="006B6993"/>
    <w:rsid w:val="006C1188"/>
    <w:rsid w:val="006E32C6"/>
    <w:rsid w:val="006E6EAC"/>
    <w:rsid w:val="006F01B2"/>
    <w:rsid w:val="006F3A38"/>
    <w:rsid w:val="006F69BF"/>
    <w:rsid w:val="00702FA0"/>
    <w:rsid w:val="0070660F"/>
    <w:rsid w:val="0071246D"/>
    <w:rsid w:val="00724122"/>
    <w:rsid w:val="00725D39"/>
    <w:rsid w:val="00762CF0"/>
    <w:rsid w:val="007638EF"/>
    <w:rsid w:val="007733EB"/>
    <w:rsid w:val="00774D40"/>
    <w:rsid w:val="00776B71"/>
    <w:rsid w:val="00784741"/>
    <w:rsid w:val="007A4D78"/>
    <w:rsid w:val="007A7AD1"/>
    <w:rsid w:val="007D2FF5"/>
    <w:rsid w:val="007D4C1B"/>
    <w:rsid w:val="007D61FC"/>
    <w:rsid w:val="007E1C9F"/>
    <w:rsid w:val="00814D20"/>
    <w:rsid w:val="00817552"/>
    <w:rsid w:val="00840E80"/>
    <w:rsid w:val="0084468B"/>
    <w:rsid w:val="00844A28"/>
    <w:rsid w:val="00864B56"/>
    <w:rsid w:val="0087500B"/>
    <w:rsid w:val="008770C2"/>
    <w:rsid w:val="00886937"/>
    <w:rsid w:val="00887814"/>
    <w:rsid w:val="00893DFE"/>
    <w:rsid w:val="0089761D"/>
    <w:rsid w:val="008D0C13"/>
    <w:rsid w:val="008D37F3"/>
    <w:rsid w:val="008D4F8F"/>
    <w:rsid w:val="008D76AC"/>
    <w:rsid w:val="008F0587"/>
    <w:rsid w:val="00907495"/>
    <w:rsid w:val="00911055"/>
    <w:rsid w:val="0091607E"/>
    <w:rsid w:val="00933588"/>
    <w:rsid w:val="0098367C"/>
    <w:rsid w:val="009935C5"/>
    <w:rsid w:val="009A1B5D"/>
    <w:rsid w:val="009A420E"/>
    <w:rsid w:val="009B1CC6"/>
    <w:rsid w:val="009B7B49"/>
    <w:rsid w:val="009D1C92"/>
    <w:rsid w:val="009D2116"/>
    <w:rsid w:val="009E2E40"/>
    <w:rsid w:val="009F67DA"/>
    <w:rsid w:val="00A10B05"/>
    <w:rsid w:val="00A20739"/>
    <w:rsid w:val="00A255AD"/>
    <w:rsid w:val="00A73EC3"/>
    <w:rsid w:val="00A744BF"/>
    <w:rsid w:val="00A818FD"/>
    <w:rsid w:val="00A863CF"/>
    <w:rsid w:val="00AA341C"/>
    <w:rsid w:val="00AD2ADE"/>
    <w:rsid w:val="00AD397C"/>
    <w:rsid w:val="00AD78EE"/>
    <w:rsid w:val="00AF123F"/>
    <w:rsid w:val="00AF6590"/>
    <w:rsid w:val="00B02F0C"/>
    <w:rsid w:val="00B043F3"/>
    <w:rsid w:val="00B067FD"/>
    <w:rsid w:val="00B10E10"/>
    <w:rsid w:val="00B131BB"/>
    <w:rsid w:val="00B325E0"/>
    <w:rsid w:val="00B57EA9"/>
    <w:rsid w:val="00B77580"/>
    <w:rsid w:val="00B8247B"/>
    <w:rsid w:val="00BA2328"/>
    <w:rsid w:val="00BA3C23"/>
    <w:rsid w:val="00BA585D"/>
    <w:rsid w:val="00BB78E9"/>
    <w:rsid w:val="00BD0AF0"/>
    <w:rsid w:val="00BD3209"/>
    <w:rsid w:val="00BE3875"/>
    <w:rsid w:val="00BE4598"/>
    <w:rsid w:val="00BE482C"/>
    <w:rsid w:val="00BF43AE"/>
    <w:rsid w:val="00BF45A4"/>
    <w:rsid w:val="00C14D48"/>
    <w:rsid w:val="00C237FB"/>
    <w:rsid w:val="00C5279F"/>
    <w:rsid w:val="00C54DC0"/>
    <w:rsid w:val="00C644D3"/>
    <w:rsid w:val="00C91C6E"/>
    <w:rsid w:val="00C9681E"/>
    <w:rsid w:val="00CA21A3"/>
    <w:rsid w:val="00CB5B4D"/>
    <w:rsid w:val="00CC0097"/>
    <w:rsid w:val="00CD1101"/>
    <w:rsid w:val="00CE4682"/>
    <w:rsid w:val="00D04A39"/>
    <w:rsid w:val="00D120BA"/>
    <w:rsid w:val="00D20A1F"/>
    <w:rsid w:val="00D20FC2"/>
    <w:rsid w:val="00D247D1"/>
    <w:rsid w:val="00D30283"/>
    <w:rsid w:val="00D448CE"/>
    <w:rsid w:val="00D50E2F"/>
    <w:rsid w:val="00D514BD"/>
    <w:rsid w:val="00D82DE6"/>
    <w:rsid w:val="00D903AB"/>
    <w:rsid w:val="00D95501"/>
    <w:rsid w:val="00D95644"/>
    <w:rsid w:val="00DB5A25"/>
    <w:rsid w:val="00DD57D9"/>
    <w:rsid w:val="00DE2E77"/>
    <w:rsid w:val="00DE3DAA"/>
    <w:rsid w:val="00DF4457"/>
    <w:rsid w:val="00DF4B91"/>
    <w:rsid w:val="00DF4FDB"/>
    <w:rsid w:val="00DF69DE"/>
    <w:rsid w:val="00E0628B"/>
    <w:rsid w:val="00E11713"/>
    <w:rsid w:val="00E34120"/>
    <w:rsid w:val="00E34546"/>
    <w:rsid w:val="00E418EF"/>
    <w:rsid w:val="00E50091"/>
    <w:rsid w:val="00E56A37"/>
    <w:rsid w:val="00E972D6"/>
    <w:rsid w:val="00EA7E75"/>
    <w:rsid w:val="00EB6005"/>
    <w:rsid w:val="00ED371D"/>
    <w:rsid w:val="00EE268B"/>
    <w:rsid w:val="00EE2A80"/>
    <w:rsid w:val="00EE527A"/>
    <w:rsid w:val="00EE6338"/>
    <w:rsid w:val="00F02BD0"/>
    <w:rsid w:val="00F11C9E"/>
    <w:rsid w:val="00F147D7"/>
    <w:rsid w:val="00F23D7F"/>
    <w:rsid w:val="00F321E2"/>
    <w:rsid w:val="00F32C9C"/>
    <w:rsid w:val="00F344C4"/>
    <w:rsid w:val="00F405BF"/>
    <w:rsid w:val="00F431C4"/>
    <w:rsid w:val="00F53783"/>
    <w:rsid w:val="00F55C77"/>
    <w:rsid w:val="00F73280"/>
    <w:rsid w:val="00F74EEC"/>
    <w:rsid w:val="00FA7FB3"/>
    <w:rsid w:val="00FB23C4"/>
    <w:rsid w:val="00FB55FF"/>
    <w:rsid w:val="00FB71F8"/>
    <w:rsid w:val="00FC6D00"/>
    <w:rsid w:val="00FD43D4"/>
    <w:rsid w:val="00FE067F"/>
    <w:rsid w:val="00FE7121"/>
    <w:rsid w:val="00FF1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Corpodetexto">
    <w:name w:val="Body Text"/>
    <w:basedOn w:val="Normal"/>
    <w:link w:val="CorpodetextoChar"/>
    <w:semiHidden/>
    <w:rsid w:val="005305D7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305D7"/>
    <w:rPr>
      <w:rFonts w:ascii="Times New Roman" w:eastAsia="Times New Roman" w:hAnsi="Times New Roman"/>
      <w:sz w:val="24"/>
    </w:rPr>
  </w:style>
  <w:style w:type="paragraph" w:customStyle="1" w:styleId="N-num1">
    <w:name w:val="N - num. 1"/>
    <w:basedOn w:val="Normal"/>
    <w:rsid w:val="00DF4B91"/>
    <w:pPr>
      <w:numPr>
        <w:numId w:val="9"/>
      </w:numPr>
      <w:spacing w:after="12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N-num2">
    <w:name w:val="N - num. 2"/>
    <w:basedOn w:val="N-num1"/>
    <w:rsid w:val="00DF4B91"/>
    <w:pPr>
      <w:numPr>
        <w:ilvl w:val="1"/>
      </w:numPr>
      <w:outlineLvl w:val="1"/>
    </w:pPr>
  </w:style>
  <w:style w:type="paragraph" w:customStyle="1" w:styleId="Normal-num3">
    <w:name w:val="Normal - num. 3"/>
    <w:basedOn w:val="Normal"/>
    <w:rsid w:val="00DF4B91"/>
    <w:pPr>
      <w:numPr>
        <w:ilvl w:val="2"/>
        <w:numId w:val="9"/>
      </w:numPr>
      <w:tabs>
        <w:tab w:val="left" w:pos="851"/>
      </w:tabs>
      <w:spacing w:after="0" w:line="240" w:lineRule="auto"/>
      <w:jc w:val="both"/>
      <w:outlineLvl w:val="1"/>
    </w:pPr>
    <w:rPr>
      <w:rFonts w:ascii="Times New Roman" w:eastAsia="Times New Roman" w:hAnsi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1175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5</cp:revision>
  <cp:lastPrinted>2017-11-08T18:18:00Z</cp:lastPrinted>
  <dcterms:created xsi:type="dcterms:W3CDTF">2017-11-08T17:20:00Z</dcterms:created>
  <dcterms:modified xsi:type="dcterms:W3CDTF">2017-11-08T18:19:00Z</dcterms:modified>
</cp:coreProperties>
</file>