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E0" w:rsidRPr="000E406F" w:rsidRDefault="00AD05E0" w:rsidP="000E406F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0C5B6B" w:rsidRPr="000635A2" w:rsidRDefault="000C5B6B" w:rsidP="000E406F">
      <w:pPr>
        <w:spacing w:after="0"/>
        <w:jc w:val="both"/>
        <w:rPr>
          <w:rFonts w:ascii="Arial" w:hAnsi="Arial" w:cs="Arial"/>
          <w:bCs/>
        </w:rPr>
      </w:pPr>
      <w:r w:rsidRPr="004E49DD">
        <w:rPr>
          <w:rFonts w:ascii="Arial" w:hAnsi="Arial" w:cs="Arial"/>
          <w:b/>
          <w:bCs/>
        </w:rPr>
        <w:t>Processo n°:</w:t>
      </w:r>
      <w:r w:rsidRPr="000635A2">
        <w:rPr>
          <w:rFonts w:ascii="Arial" w:hAnsi="Arial" w:cs="Arial"/>
          <w:bCs/>
        </w:rPr>
        <w:t xml:space="preserve"> </w:t>
      </w:r>
      <w:r w:rsidR="009737AB" w:rsidRPr="000635A2">
        <w:rPr>
          <w:rFonts w:ascii="Arial" w:hAnsi="Arial" w:cs="Arial"/>
        </w:rPr>
        <w:t>1104-000332</w:t>
      </w:r>
      <w:r w:rsidR="00CE3EE5" w:rsidRPr="000635A2">
        <w:rPr>
          <w:rFonts w:ascii="Arial" w:hAnsi="Arial" w:cs="Arial"/>
        </w:rPr>
        <w:t>/201</w:t>
      </w:r>
      <w:r w:rsidR="00C1787A" w:rsidRPr="000635A2">
        <w:rPr>
          <w:rFonts w:ascii="Arial" w:hAnsi="Arial" w:cs="Arial"/>
        </w:rPr>
        <w:t>8</w:t>
      </w:r>
    </w:p>
    <w:p w:rsidR="000C5B6B" w:rsidRPr="000635A2" w:rsidRDefault="000C5B6B" w:rsidP="000E406F">
      <w:pPr>
        <w:spacing w:after="0"/>
        <w:jc w:val="both"/>
        <w:rPr>
          <w:rFonts w:ascii="Arial" w:hAnsi="Arial" w:cs="Arial"/>
          <w:b/>
          <w:bCs/>
        </w:rPr>
      </w:pPr>
      <w:r w:rsidRPr="000635A2">
        <w:rPr>
          <w:rFonts w:ascii="Arial" w:hAnsi="Arial" w:cs="Arial"/>
          <w:b/>
          <w:bCs/>
        </w:rPr>
        <w:t>Interessado:</w:t>
      </w:r>
      <w:r w:rsidR="00CE3EE5" w:rsidRPr="000635A2">
        <w:rPr>
          <w:rFonts w:ascii="Arial" w:hAnsi="Arial" w:cs="Arial"/>
        </w:rPr>
        <w:t xml:space="preserve"> </w:t>
      </w:r>
      <w:r w:rsidR="000F7034" w:rsidRPr="000635A2">
        <w:rPr>
          <w:rFonts w:ascii="Arial" w:hAnsi="Arial" w:cs="Arial"/>
        </w:rPr>
        <w:t>Companhia de Edição, Impressão e Publicação de Alagoas</w:t>
      </w:r>
      <w:r w:rsidR="00B619E2" w:rsidRPr="000635A2">
        <w:rPr>
          <w:rFonts w:ascii="Arial" w:hAnsi="Arial" w:cs="Arial"/>
        </w:rPr>
        <w:t xml:space="preserve"> – </w:t>
      </w:r>
      <w:r w:rsidR="000F7034" w:rsidRPr="000635A2">
        <w:rPr>
          <w:rFonts w:ascii="Arial" w:hAnsi="Arial" w:cs="Arial"/>
        </w:rPr>
        <w:t>CEPAL</w:t>
      </w:r>
    </w:p>
    <w:p w:rsidR="004E49DD" w:rsidRDefault="000C5B6B" w:rsidP="000E406F">
      <w:pPr>
        <w:spacing w:after="0"/>
        <w:jc w:val="both"/>
        <w:rPr>
          <w:rFonts w:ascii="Arial" w:hAnsi="Arial" w:cs="Arial"/>
          <w:bCs/>
        </w:rPr>
      </w:pPr>
      <w:r w:rsidRPr="000635A2">
        <w:rPr>
          <w:rFonts w:ascii="Arial" w:hAnsi="Arial" w:cs="Arial"/>
          <w:b/>
          <w:bCs/>
        </w:rPr>
        <w:t>Assunto:</w:t>
      </w:r>
      <w:r w:rsidR="00B619E2" w:rsidRPr="000635A2">
        <w:rPr>
          <w:rFonts w:ascii="Arial" w:hAnsi="Arial" w:cs="Arial"/>
          <w:bCs/>
        </w:rPr>
        <w:t xml:space="preserve"> Prestação de Contas Anual </w:t>
      </w:r>
    </w:p>
    <w:p w:rsidR="0072369C" w:rsidRPr="000635A2" w:rsidRDefault="004E49DD" w:rsidP="000E406F">
      <w:pPr>
        <w:spacing w:after="0"/>
        <w:jc w:val="both"/>
        <w:rPr>
          <w:rFonts w:ascii="Arial" w:hAnsi="Arial" w:cs="Arial"/>
          <w:bCs/>
        </w:rPr>
      </w:pPr>
      <w:r w:rsidRPr="004E49DD">
        <w:rPr>
          <w:rFonts w:ascii="Arial" w:hAnsi="Arial" w:cs="Arial"/>
          <w:b/>
          <w:bCs/>
        </w:rPr>
        <w:t>Detalhes:</w:t>
      </w:r>
      <w:r>
        <w:rPr>
          <w:rFonts w:ascii="Arial" w:hAnsi="Arial" w:cs="Arial"/>
          <w:bCs/>
        </w:rPr>
        <w:t xml:space="preserve"> Referente ao </w:t>
      </w:r>
      <w:r w:rsidR="00B619E2" w:rsidRPr="000635A2">
        <w:rPr>
          <w:rFonts w:ascii="Arial" w:hAnsi="Arial" w:cs="Arial"/>
          <w:bCs/>
        </w:rPr>
        <w:t>Exercício de 2017</w:t>
      </w:r>
    </w:p>
    <w:p w:rsidR="00A73B3F" w:rsidRPr="000635A2" w:rsidRDefault="00A73B3F" w:rsidP="000E406F">
      <w:pPr>
        <w:spacing w:after="0"/>
        <w:jc w:val="both"/>
        <w:rPr>
          <w:rFonts w:ascii="Arial" w:hAnsi="Arial" w:cs="Arial"/>
          <w:bCs/>
        </w:rPr>
      </w:pPr>
    </w:p>
    <w:p w:rsidR="000C5B6B" w:rsidRPr="000635A2" w:rsidRDefault="00C1787A" w:rsidP="000E406F">
      <w:pPr>
        <w:spacing w:after="0"/>
        <w:jc w:val="both"/>
        <w:rPr>
          <w:rFonts w:ascii="Arial" w:hAnsi="Arial" w:cs="Arial"/>
          <w:b/>
          <w:bCs/>
          <w:u w:val="single"/>
        </w:rPr>
      </w:pPr>
      <w:r w:rsidRPr="000635A2">
        <w:rPr>
          <w:rFonts w:ascii="Arial" w:hAnsi="Arial" w:cs="Arial"/>
          <w:b/>
          <w:bCs/>
          <w:u w:val="single"/>
        </w:rPr>
        <w:t>1 - PREÂMBULO</w:t>
      </w:r>
    </w:p>
    <w:p w:rsidR="00AD05E0" w:rsidRPr="000635A2" w:rsidRDefault="00C70266" w:rsidP="000E406F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0635A2">
        <w:rPr>
          <w:rFonts w:ascii="Arial" w:hAnsi="Arial" w:cs="Arial"/>
        </w:rPr>
        <w:t xml:space="preserve">Trata-se da análise em documentos, que compõem a Prestação das Contas </w:t>
      </w:r>
      <w:r w:rsidR="00B619E2" w:rsidRPr="000635A2">
        <w:rPr>
          <w:rFonts w:ascii="Arial" w:hAnsi="Arial" w:cs="Arial"/>
        </w:rPr>
        <w:t xml:space="preserve">Anual </w:t>
      </w:r>
      <w:r w:rsidRPr="000635A2">
        <w:rPr>
          <w:rFonts w:ascii="Arial" w:hAnsi="Arial" w:cs="Arial"/>
        </w:rPr>
        <w:t xml:space="preserve">da </w:t>
      </w:r>
      <w:r w:rsidR="000F7034" w:rsidRPr="000635A2">
        <w:rPr>
          <w:rFonts w:ascii="Arial" w:hAnsi="Arial" w:cs="Arial"/>
        </w:rPr>
        <w:t>Companhia de Edição, Impressão e Publicação de Alagoas – CEPAL</w:t>
      </w:r>
      <w:r w:rsidR="000C5B6B" w:rsidRPr="000635A2">
        <w:rPr>
          <w:rFonts w:ascii="Arial" w:hAnsi="Arial" w:cs="Arial"/>
        </w:rPr>
        <w:t>,</w:t>
      </w:r>
      <w:r w:rsidR="000C5B6B" w:rsidRPr="000635A2">
        <w:rPr>
          <w:rFonts w:ascii="Arial" w:hAnsi="Arial" w:cs="Arial"/>
          <w:b/>
        </w:rPr>
        <w:t xml:space="preserve"> </w:t>
      </w:r>
      <w:r w:rsidR="000C5B6B" w:rsidRPr="000635A2">
        <w:rPr>
          <w:rFonts w:ascii="Arial" w:hAnsi="Arial" w:cs="Arial"/>
        </w:rPr>
        <w:t xml:space="preserve">relativas ao exercício </w:t>
      </w:r>
      <w:r w:rsidRPr="000635A2">
        <w:rPr>
          <w:rFonts w:ascii="Arial" w:hAnsi="Arial" w:cs="Arial"/>
        </w:rPr>
        <w:t>findo em 31 de dezembro de 2017</w:t>
      </w:r>
      <w:r w:rsidR="000C5B6B" w:rsidRPr="000635A2">
        <w:rPr>
          <w:rFonts w:ascii="Arial" w:hAnsi="Arial" w:cs="Arial"/>
        </w:rPr>
        <w:t xml:space="preserve">, </w:t>
      </w:r>
      <w:r w:rsidRPr="000635A2">
        <w:rPr>
          <w:rFonts w:ascii="Arial" w:hAnsi="Arial" w:cs="Arial"/>
        </w:rPr>
        <w:t xml:space="preserve">em atenção ao </w:t>
      </w:r>
      <w:r w:rsidR="000F7034" w:rsidRPr="000635A2">
        <w:rPr>
          <w:rFonts w:ascii="Arial" w:hAnsi="Arial" w:cs="Arial"/>
        </w:rPr>
        <w:t>Ofício nº64/2018, de 27</w:t>
      </w:r>
      <w:r w:rsidR="00C1787A" w:rsidRPr="000635A2">
        <w:rPr>
          <w:rFonts w:ascii="Arial" w:hAnsi="Arial" w:cs="Arial"/>
        </w:rPr>
        <w:t>/04/2018</w:t>
      </w:r>
      <w:r w:rsidR="000C5B6B" w:rsidRPr="000635A2">
        <w:rPr>
          <w:rFonts w:ascii="Arial" w:hAnsi="Arial" w:cs="Arial"/>
        </w:rPr>
        <w:t xml:space="preserve">, </w:t>
      </w:r>
      <w:r w:rsidR="00C1787A" w:rsidRPr="000635A2">
        <w:rPr>
          <w:rFonts w:ascii="Arial" w:hAnsi="Arial" w:cs="Arial"/>
        </w:rPr>
        <w:t xml:space="preserve">encaminhado a esta Controladoria Geral do Estado, pelo </w:t>
      </w:r>
      <w:r w:rsidRPr="000635A2">
        <w:rPr>
          <w:rFonts w:ascii="Arial" w:hAnsi="Arial" w:cs="Arial"/>
        </w:rPr>
        <w:t xml:space="preserve">atual </w:t>
      </w:r>
      <w:r w:rsidR="00C1787A" w:rsidRPr="000635A2">
        <w:rPr>
          <w:rFonts w:ascii="Arial" w:hAnsi="Arial" w:cs="Arial"/>
        </w:rPr>
        <w:t>Diretor Presidente,</w:t>
      </w:r>
      <w:r w:rsidRPr="000635A2">
        <w:rPr>
          <w:rFonts w:ascii="Arial" w:hAnsi="Arial" w:cs="Arial"/>
        </w:rPr>
        <w:t xml:space="preserve"> </w:t>
      </w:r>
      <w:r w:rsidR="000F7034" w:rsidRPr="000635A2">
        <w:rPr>
          <w:rFonts w:ascii="Arial" w:hAnsi="Arial" w:cs="Arial"/>
        </w:rPr>
        <w:t>Dagoberto Costa Silva de Omena</w:t>
      </w:r>
      <w:r w:rsidR="00C1787A" w:rsidRPr="000635A2">
        <w:rPr>
          <w:rFonts w:ascii="Arial" w:hAnsi="Arial" w:cs="Arial"/>
        </w:rPr>
        <w:t>, em atendimento a exigência do Tribunal de Contas do Estado de Alagoas – TCE/AL, na forma disposta na Lei Estadual nº 5.604/94, nas Resoluções Normativas nºs</w:t>
      </w:r>
      <w:r w:rsidR="00A3610E" w:rsidRPr="000635A2">
        <w:rPr>
          <w:rFonts w:ascii="Arial" w:hAnsi="Arial" w:cs="Arial"/>
        </w:rPr>
        <w:t xml:space="preserve"> 02/2003 com</w:t>
      </w:r>
      <w:r w:rsidR="00C1787A" w:rsidRPr="000635A2">
        <w:rPr>
          <w:rFonts w:ascii="Arial" w:hAnsi="Arial" w:cs="Arial"/>
        </w:rPr>
        <w:t xml:space="preserve"> alterações</w:t>
      </w:r>
      <w:r w:rsidR="00A3610E" w:rsidRPr="000635A2">
        <w:rPr>
          <w:rFonts w:ascii="Arial" w:hAnsi="Arial" w:cs="Arial"/>
        </w:rPr>
        <w:t xml:space="preserve"> e </w:t>
      </w:r>
      <w:r w:rsidR="00C1787A" w:rsidRPr="000635A2">
        <w:rPr>
          <w:rFonts w:ascii="Arial" w:hAnsi="Arial" w:cs="Arial"/>
        </w:rPr>
        <w:t xml:space="preserve">nº 01/2016 do TCE/AL, no tocante ao conteúdo dos demonstrativos e demais documentos apresentados pela </w:t>
      </w:r>
      <w:r w:rsidR="000F7034" w:rsidRPr="000635A2">
        <w:rPr>
          <w:rFonts w:ascii="Arial" w:hAnsi="Arial" w:cs="Arial"/>
        </w:rPr>
        <w:t>CEPAL</w:t>
      </w:r>
      <w:r w:rsidRPr="000635A2">
        <w:rPr>
          <w:rFonts w:ascii="Arial" w:hAnsi="Arial" w:cs="Arial"/>
        </w:rPr>
        <w:t>.</w:t>
      </w:r>
    </w:p>
    <w:p w:rsidR="00C70266" w:rsidRPr="000635A2" w:rsidRDefault="00C70266" w:rsidP="000E406F">
      <w:pPr>
        <w:pStyle w:val="NormalWeb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0C5B6B" w:rsidRPr="000635A2" w:rsidRDefault="000A437C" w:rsidP="000E4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2 – ROL DOS RESPONSÁ</w:t>
      </w:r>
      <w:r w:rsidR="00C1787A" w:rsidRPr="000635A2">
        <w:rPr>
          <w:rFonts w:ascii="Arial" w:hAnsi="Arial" w:cs="Arial"/>
          <w:b/>
          <w:sz w:val="22"/>
          <w:szCs w:val="22"/>
          <w:u w:val="single"/>
        </w:rPr>
        <w:t>VEIS</w:t>
      </w:r>
    </w:p>
    <w:p w:rsidR="00B619E2" w:rsidRPr="000635A2" w:rsidRDefault="00B619E2" w:rsidP="000E406F">
      <w:pPr>
        <w:spacing w:after="0"/>
        <w:ind w:firstLine="709"/>
        <w:jc w:val="both"/>
        <w:rPr>
          <w:rFonts w:ascii="Arial" w:hAnsi="Arial" w:cs="Arial"/>
          <w:shd w:val="clear" w:color="auto" w:fill="FFFFFF"/>
        </w:rPr>
      </w:pPr>
      <w:r w:rsidRPr="000635A2">
        <w:rPr>
          <w:rFonts w:ascii="Arial" w:hAnsi="Arial" w:cs="Arial"/>
          <w:bCs/>
        </w:rPr>
        <w:t xml:space="preserve">Segue a relação dos responsáveis legais e técnicos pela aplicação dos recursos financeiros e pela elaboração das </w:t>
      </w:r>
      <w:r w:rsidRPr="000635A2">
        <w:rPr>
          <w:rFonts w:ascii="Arial" w:hAnsi="Arial" w:cs="Arial"/>
          <w:shd w:val="clear" w:color="auto" w:fill="FFFFFF"/>
        </w:rPr>
        <w:t>Demonstrações Contábeis do período sob análise:</w:t>
      </w:r>
    </w:p>
    <w:p w:rsidR="00B619E2" w:rsidRPr="000635A2" w:rsidRDefault="00BB7B43" w:rsidP="000E406F">
      <w:pPr>
        <w:pStyle w:val="PargrafodaLista"/>
        <w:numPr>
          <w:ilvl w:val="0"/>
          <w:numId w:val="37"/>
        </w:numPr>
        <w:spacing w:after="0"/>
        <w:rPr>
          <w:rFonts w:ascii="Arial" w:hAnsi="Arial" w:cs="Arial"/>
          <w:b/>
        </w:rPr>
      </w:pPr>
      <w:r w:rsidRPr="000635A2">
        <w:rPr>
          <w:rFonts w:ascii="Arial" w:hAnsi="Arial" w:cs="Arial"/>
        </w:rPr>
        <w:t xml:space="preserve">Dagoberto Costa Silva de Omena </w:t>
      </w:r>
      <w:r w:rsidR="00B619E2" w:rsidRPr="000635A2">
        <w:rPr>
          <w:rFonts w:ascii="Arial" w:hAnsi="Arial" w:cs="Arial"/>
        </w:rPr>
        <w:t xml:space="preserve">– </w:t>
      </w:r>
      <w:r w:rsidR="00B619E2" w:rsidRPr="000635A2">
        <w:rPr>
          <w:rFonts w:ascii="Arial" w:hAnsi="Arial" w:cs="Arial"/>
          <w:b/>
        </w:rPr>
        <w:t>Diretor Presidente</w:t>
      </w:r>
    </w:p>
    <w:p w:rsidR="00B619E2" w:rsidRPr="000635A2" w:rsidRDefault="00D35D33" w:rsidP="000E406F">
      <w:pPr>
        <w:pStyle w:val="PargrafodaLista"/>
        <w:numPr>
          <w:ilvl w:val="0"/>
          <w:numId w:val="37"/>
        </w:numPr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>José Otílio Damas dos Santos</w:t>
      </w:r>
      <w:r w:rsidR="00B619E2" w:rsidRPr="000635A2">
        <w:rPr>
          <w:rFonts w:ascii="Arial" w:hAnsi="Arial" w:cs="Arial"/>
        </w:rPr>
        <w:t xml:space="preserve"> – </w:t>
      </w:r>
      <w:r w:rsidR="00BB7B43" w:rsidRPr="000635A2">
        <w:rPr>
          <w:rFonts w:ascii="Arial" w:hAnsi="Arial" w:cs="Arial"/>
          <w:b/>
        </w:rPr>
        <w:t xml:space="preserve">Diretor </w:t>
      </w:r>
      <w:r w:rsidRPr="000635A2">
        <w:rPr>
          <w:rFonts w:ascii="Arial" w:hAnsi="Arial" w:cs="Arial"/>
          <w:b/>
        </w:rPr>
        <w:t>Comercial e Industrial</w:t>
      </w:r>
    </w:p>
    <w:p w:rsidR="00B619E2" w:rsidRPr="000635A2" w:rsidRDefault="00DA5197" w:rsidP="000E406F">
      <w:pPr>
        <w:pStyle w:val="PargrafodaLista"/>
        <w:numPr>
          <w:ilvl w:val="0"/>
          <w:numId w:val="37"/>
        </w:numPr>
        <w:tabs>
          <w:tab w:val="left" w:pos="284"/>
          <w:tab w:val="left" w:pos="567"/>
          <w:tab w:val="left" w:pos="709"/>
          <w:tab w:val="left" w:pos="1134"/>
        </w:tabs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 </w:t>
      </w:r>
      <w:r w:rsidR="000A437C">
        <w:rPr>
          <w:rFonts w:ascii="Arial" w:hAnsi="Arial" w:cs="Arial"/>
        </w:rPr>
        <w:t xml:space="preserve"> </w:t>
      </w:r>
      <w:r w:rsidR="00D35D33" w:rsidRPr="000635A2">
        <w:rPr>
          <w:rFonts w:ascii="Arial" w:hAnsi="Arial" w:cs="Arial"/>
        </w:rPr>
        <w:t>Williams Vasconcelos Silva</w:t>
      </w:r>
      <w:r w:rsidR="00B619E2" w:rsidRPr="000635A2">
        <w:rPr>
          <w:rFonts w:ascii="Arial" w:hAnsi="Arial" w:cs="Arial"/>
        </w:rPr>
        <w:t xml:space="preserve"> – </w:t>
      </w:r>
      <w:r w:rsidR="00D35D33" w:rsidRPr="000635A2">
        <w:rPr>
          <w:rFonts w:ascii="Arial" w:hAnsi="Arial" w:cs="Arial"/>
          <w:b/>
        </w:rPr>
        <w:t>Contador</w:t>
      </w:r>
      <w:r w:rsidR="00D35D33" w:rsidRPr="000635A2">
        <w:rPr>
          <w:rFonts w:ascii="Arial" w:hAnsi="Arial" w:cs="Arial"/>
        </w:rPr>
        <w:t xml:space="preserve"> – CRC/AL 4023/O-5</w:t>
      </w:r>
    </w:p>
    <w:p w:rsidR="000C5B6B" w:rsidRPr="000635A2" w:rsidRDefault="000C5B6B" w:rsidP="000E406F">
      <w:pPr>
        <w:spacing w:after="0"/>
        <w:jc w:val="both"/>
        <w:rPr>
          <w:rFonts w:ascii="Arial" w:hAnsi="Arial" w:cs="Arial"/>
          <w:b/>
        </w:rPr>
      </w:pPr>
    </w:p>
    <w:p w:rsidR="00CB78FC" w:rsidRPr="000635A2" w:rsidRDefault="00C1787A" w:rsidP="000E406F">
      <w:pPr>
        <w:spacing w:after="0"/>
        <w:jc w:val="both"/>
        <w:rPr>
          <w:rFonts w:ascii="Arial" w:hAnsi="Arial" w:cs="Arial"/>
          <w:b/>
          <w:u w:val="single"/>
        </w:rPr>
      </w:pPr>
      <w:r w:rsidRPr="000635A2">
        <w:rPr>
          <w:rFonts w:ascii="Arial" w:hAnsi="Arial" w:cs="Arial"/>
          <w:b/>
          <w:u w:val="single"/>
        </w:rPr>
        <w:t>3 – METODOLOGIA</w:t>
      </w:r>
    </w:p>
    <w:p w:rsidR="000C5B6B" w:rsidRPr="000635A2" w:rsidRDefault="00A3610E" w:rsidP="000E406F">
      <w:pPr>
        <w:pStyle w:val="SemEspaamento"/>
        <w:spacing w:line="276" w:lineRule="auto"/>
        <w:ind w:firstLine="709"/>
        <w:jc w:val="both"/>
        <w:rPr>
          <w:rFonts w:ascii="Arial" w:hAnsi="Arial" w:cs="Arial"/>
          <w:b/>
        </w:rPr>
      </w:pPr>
      <w:r w:rsidRPr="000635A2">
        <w:rPr>
          <w:rFonts w:ascii="Arial" w:hAnsi="Arial" w:cs="Arial"/>
        </w:rPr>
        <w:t>Versam os autos sobr</w:t>
      </w:r>
      <w:r w:rsidR="00C42EE3" w:rsidRPr="000635A2">
        <w:rPr>
          <w:rFonts w:ascii="Arial" w:hAnsi="Arial" w:cs="Arial"/>
        </w:rPr>
        <w:t xml:space="preserve">e a Prestação de Contas da </w:t>
      </w:r>
      <w:r w:rsidR="00D35D33" w:rsidRPr="000635A2">
        <w:rPr>
          <w:rFonts w:ascii="Arial" w:hAnsi="Arial" w:cs="Arial"/>
        </w:rPr>
        <w:t xml:space="preserve"> </w:t>
      </w:r>
      <w:r w:rsidR="002E01FA" w:rsidRPr="000635A2">
        <w:rPr>
          <w:rFonts w:ascii="Arial" w:hAnsi="Arial" w:cs="Arial"/>
        </w:rPr>
        <w:t>CEPAL</w:t>
      </w:r>
      <w:r w:rsidRPr="000635A2">
        <w:rPr>
          <w:rFonts w:ascii="Arial" w:hAnsi="Arial" w:cs="Arial"/>
        </w:rPr>
        <w:t>, a ser enviada ao TCE/AL no prazo regulamentar, documentos estes apresentados pelo Órgão, considerados indispensável à análise, elaborados com base legal nas legislações aplicáveis, conforme Lei Federal nº 6.404/76 e, em cumprimento a Lei Estadual nº 5.604/94 e Resoluções Normativas</w:t>
      </w:r>
      <w:r w:rsidRPr="000635A2">
        <w:rPr>
          <w:rFonts w:ascii="Arial" w:eastAsia="Times New Roman" w:hAnsi="Arial" w:cs="Arial"/>
          <w:lang w:eastAsia="pt-BR"/>
        </w:rPr>
        <w:t xml:space="preserve"> nºs 02/2003 com alterações </w:t>
      </w:r>
      <w:r w:rsidRPr="000635A2">
        <w:rPr>
          <w:rFonts w:ascii="Arial" w:hAnsi="Arial" w:cs="Arial"/>
        </w:rPr>
        <w:t xml:space="preserve">e nº 001/2016 do </w:t>
      </w:r>
      <w:r w:rsidRPr="000635A2">
        <w:rPr>
          <w:rFonts w:ascii="Arial" w:eastAsia="Times New Roman" w:hAnsi="Arial" w:cs="Arial"/>
          <w:lang w:eastAsia="pt-BR"/>
        </w:rPr>
        <w:t>TCE/AL.</w:t>
      </w:r>
    </w:p>
    <w:p w:rsidR="005E2DB0" w:rsidRPr="000635A2" w:rsidRDefault="005E2DB0" w:rsidP="000E406F">
      <w:pPr>
        <w:pStyle w:val="SemEspaamento"/>
        <w:spacing w:line="276" w:lineRule="auto"/>
        <w:jc w:val="both"/>
        <w:rPr>
          <w:rFonts w:ascii="Arial" w:hAnsi="Arial" w:cs="Arial"/>
        </w:rPr>
      </w:pPr>
    </w:p>
    <w:p w:rsidR="003C42EE" w:rsidRPr="000635A2" w:rsidRDefault="00C1787A" w:rsidP="000E406F">
      <w:pPr>
        <w:pStyle w:val="SemEspaamento"/>
        <w:spacing w:line="276" w:lineRule="auto"/>
        <w:jc w:val="both"/>
        <w:rPr>
          <w:rFonts w:ascii="Arial" w:hAnsi="Arial" w:cs="Arial"/>
          <w:b/>
          <w:u w:val="single"/>
        </w:rPr>
      </w:pPr>
      <w:r w:rsidRPr="000635A2">
        <w:rPr>
          <w:rFonts w:ascii="Arial" w:hAnsi="Arial" w:cs="Arial"/>
          <w:b/>
          <w:u w:val="single"/>
        </w:rPr>
        <w:t xml:space="preserve">4 – </w:t>
      </w:r>
      <w:r w:rsidR="00B552F2" w:rsidRPr="000635A2">
        <w:rPr>
          <w:rFonts w:ascii="Arial" w:hAnsi="Arial" w:cs="Arial"/>
          <w:b/>
          <w:u w:val="single"/>
        </w:rPr>
        <w:t xml:space="preserve"> </w:t>
      </w:r>
      <w:r w:rsidR="00960674" w:rsidRPr="000635A2">
        <w:rPr>
          <w:rFonts w:ascii="Arial" w:hAnsi="Arial" w:cs="Arial"/>
          <w:b/>
          <w:bCs/>
          <w:u w:val="single"/>
        </w:rPr>
        <w:t xml:space="preserve">ANÁLISE </w:t>
      </w:r>
      <w:r w:rsidRPr="000635A2">
        <w:rPr>
          <w:rFonts w:ascii="Arial" w:hAnsi="Arial" w:cs="Arial"/>
          <w:b/>
          <w:u w:val="single"/>
        </w:rPr>
        <w:t>DOS AUTOS</w:t>
      </w:r>
    </w:p>
    <w:p w:rsidR="00960674" w:rsidRPr="000635A2" w:rsidRDefault="00960674" w:rsidP="000E406F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0635A2">
        <w:rPr>
          <w:rFonts w:ascii="Arial" w:hAnsi="Arial" w:cs="Arial"/>
        </w:rPr>
        <w:t>Na análise dos autos em documentos que compõem a Prestação de Contas de Gestão Anual</w:t>
      </w:r>
      <w:r w:rsidR="00772234" w:rsidRPr="000635A2">
        <w:rPr>
          <w:rFonts w:ascii="Arial" w:hAnsi="Arial" w:cs="Arial"/>
        </w:rPr>
        <w:t xml:space="preserve"> </w:t>
      </w:r>
      <w:r w:rsidR="00C42EE3" w:rsidRPr="000635A2">
        <w:rPr>
          <w:rFonts w:ascii="Arial" w:hAnsi="Arial" w:cs="Arial"/>
        </w:rPr>
        <w:t xml:space="preserve">da </w:t>
      </w:r>
      <w:r w:rsidR="00D35D33" w:rsidRPr="000635A2">
        <w:rPr>
          <w:rFonts w:ascii="Arial" w:hAnsi="Arial" w:cs="Arial"/>
        </w:rPr>
        <w:t>Companhia de Edição, Impressão e Publicação de Alagoas – CEPAL,</w:t>
      </w:r>
      <w:r w:rsidR="00772234" w:rsidRPr="000635A2">
        <w:rPr>
          <w:rFonts w:ascii="Arial" w:hAnsi="Arial" w:cs="Arial"/>
        </w:rPr>
        <w:t xml:space="preserve"> </w:t>
      </w:r>
      <w:r w:rsidRPr="000635A2">
        <w:rPr>
          <w:rFonts w:ascii="Arial" w:hAnsi="Arial" w:cs="Arial"/>
        </w:rPr>
        <w:t xml:space="preserve">referente ao exercício de 2017, em atendimento a exigência do TCE/AL, confere-se que o Processo Administrativo em tela, foi instruído com documentos obrigatórios (consolidados) e informações complementares, como segue: </w:t>
      </w:r>
    </w:p>
    <w:p w:rsidR="00960674" w:rsidRPr="000635A2" w:rsidRDefault="00960674" w:rsidP="000E406F">
      <w:pPr>
        <w:spacing w:after="0"/>
        <w:ind w:firstLine="851"/>
        <w:jc w:val="both"/>
        <w:rPr>
          <w:rFonts w:ascii="Arial" w:hAnsi="Arial" w:cs="Arial"/>
        </w:rPr>
      </w:pPr>
    </w:p>
    <w:p w:rsidR="00960674" w:rsidRPr="000635A2" w:rsidRDefault="00960674" w:rsidP="000E406F">
      <w:pPr>
        <w:spacing w:after="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ITEM 01 – Ofício de encaminhamento contendo o sumário da documentação acostada, declarando, o gestor que apresenta perante o Tribunal de Contas, as peças, informações e documentos</w:t>
      </w:r>
      <w:r w:rsidR="00B552F2" w:rsidRPr="000635A2">
        <w:rPr>
          <w:rFonts w:ascii="Arial" w:hAnsi="Arial" w:cs="Arial"/>
        </w:rPr>
        <w:t xml:space="preserve"> </w:t>
      </w:r>
      <w:r w:rsidRPr="000635A2">
        <w:rPr>
          <w:rFonts w:ascii="Arial" w:hAnsi="Arial" w:cs="Arial"/>
        </w:rPr>
        <w:t xml:space="preserve">de sua Prestação de Contas, responsabilizando-se </w:t>
      </w:r>
      <w:r w:rsidR="00C12D3D" w:rsidRPr="000635A2">
        <w:rPr>
          <w:rFonts w:ascii="Arial" w:hAnsi="Arial" w:cs="Arial"/>
        </w:rPr>
        <w:t>pela veracidade de seu conteúdo:</w:t>
      </w:r>
    </w:p>
    <w:p w:rsidR="00960674" w:rsidRPr="000635A2" w:rsidRDefault="00B32A81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>Às fls.</w:t>
      </w:r>
      <w:r w:rsidR="003C42EE" w:rsidRPr="000635A2">
        <w:rPr>
          <w:rFonts w:ascii="Arial" w:hAnsi="Arial" w:cs="Arial"/>
        </w:rPr>
        <w:t xml:space="preserve"> 02</w:t>
      </w:r>
      <w:r w:rsidR="00810428" w:rsidRPr="000635A2">
        <w:rPr>
          <w:rFonts w:ascii="Arial" w:hAnsi="Arial" w:cs="Arial"/>
        </w:rPr>
        <w:t>/05</w:t>
      </w:r>
      <w:r w:rsidRPr="000635A2">
        <w:rPr>
          <w:rFonts w:ascii="Arial" w:hAnsi="Arial" w:cs="Arial"/>
        </w:rPr>
        <w:t>, verifica-se O</w:t>
      </w:r>
      <w:r w:rsidR="00C42EE3" w:rsidRPr="000635A2">
        <w:rPr>
          <w:rFonts w:ascii="Arial" w:hAnsi="Arial" w:cs="Arial"/>
        </w:rPr>
        <w:t>f</w:t>
      </w:r>
      <w:r w:rsidR="00C12D3D" w:rsidRPr="000635A2">
        <w:rPr>
          <w:rFonts w:ascii="Arial" w:hAnsi="Arial" w:cs="Arial"/>
        </w:rPr>
        <w:t>í</w:t>
      </w:r>
      <w:r w:rsidR="00C42EE3" w:rsidRPr="000635A2">
        <w:rPr>
          <w:rFonts w:ascii="Arial" w:hAnsi="Arial" w:cs="Arial"/>
        </w:rPr>
        <w:t>cio</w:t>
      </w:r>
      <w:r w:rsidRPr="000635A2">
        <w:rPr>
          <w:rFonts w:ascii="Arial" w:hAnsi="Arial" w:cs="Arial"/>
        </w:rPr>
        <w:t xml:space="preserve"> nº </w:t>
      </w:r>
      <w:r w:rsidR="00810428" w:rsidRPr="000635A2">
        <w:rPr>
          <w:rFonts w:ascii="Arial" w:hAnsi="Arial" w:cs="Arial"/>
        </w:rPr>
        <w:t>64</w:t>
      </w:r>
      <w:r w:rsidR="00960674" w:rsidRPr="000635A2">
        <w:rPr>
          <w:rFonts w:ascii="Arial" w:hAnsi="Arial" w:cs="Arial"/>
        </w:rPr>
        <w:t>/2018</w:t>
      </w:r>
      <w:r w:rsidR="00810428" w:rsidRPr="000635A2">
        <w:rPr>
          <w:rFonts w:ascii="Arial" w:hAnsi="Arial" w:cs="Arial"/>
        </w:rPr>
        <w:t>, datado de 27</w:t>
      </w:r>
      <w:r w:rsidR="00960674" w:rsidRPr="000635A2">
        <w:rPr>
          <w:rFonts w:ascii="Arial" w:hAnsi="Arial" w:cs="Arial"/>
        </w:rPr>
        <w:t>/04/2018</w:t>
      </w:r>
      <w:r w:rsidR="000C0F43" w:rsidRPr="000635A2">
        <w:rPr>
          <w:rFonts w:ascii="Arial" w:hAnsi="Arial" w:cs="Arial"/>
        </w:rPr>
        <w:t xml:space="preserve">, da lavra do Diretor Presidente </w:t>
      </w:r>
      <w:r w:rsidR="00E62529" w:rsidRPr="000635A2">
        <w:rPr>
          <w:rFonts w:ascii="Arial" w:hAnsi="Arial" w:cs="Arial"/>
        </w:rPr>
        <w:t>Dagoberto Costa Silva de Omena</w:t>
      </w:r>
      <w:r w:rsidR="000C0F43" w:rsidRPr="000635A2">
        <w:rPr>
          <w:rFonts w:ascii="Arial" w:hAnsi="Arial" w:cs="Arial"/>
        </w:rPr>
        <w:t>, encaminhando os documentos referentes</w:t>
      </w:r>
      <w:r w:rsidR="00960674" w:rsidRPr="000635A2">
        <w:rPr>
          <w:rFonts w:ascii="Arial" w:hAnsi="Arial" w:cs="Arial"/>
        </w:rPr>
        <w:t xml:space="preserve"> à</w:t>
      </w:r>
      <w:r w:rsidR="000C0F43" w:rsidRPr="000635A2">
        <w:rPr>
          <w:rFonts w:ascii="Arial" w:hAnsi="Arial" w:cs="Arial"/>
        </w:rPr>
        <w:t xml:space="preserve"> prestação de contas da </w:t>
      </w:r>
      <w:r w:rsidR="002E01FA" w:rsidRPr="000635A2">
        <w:rPr>
          <w:rFonts w:ascii="Arial" w:hAnsi="Arial" w:cs="Arial"/>
        </w:rPr>
        <w:t xml:space="preserve">CEPAL </w:t>
      </w:r>
      <w:r w:rsidR="00960674" w:rsidRPr="000635A2">
        <w:rPr>
          <w:rFonts w:ascii="Arial" w:hAnsi="Arial" w:cs="Arial"/>
        </w:rPr>
        <w:t xml:space="preserve">do exercício de </w:t>
      </w:r>
      <w:r w:rsidR="00960674" w:rsidRPr="000635A2">
        <w:rPr>
          <w:rFonts w:ascii="Arial" w:hAnsi="Arial" w:cs="Arial"/>
        </w:rPr>
        <w:lastRenderedPageBreak/>
        <w:t>2017</w:t>
      </w:r>
      <w:r w:rsidR="00910C49" w:rsidRPr="000635A2">
        <w:rPr>
          <w:rFonts w:ascii="Arial" w:hAnsi="Arial" w:cs="Arial"/>
        </w:rPr>
        <w:t xml:space="preserve"> </w:t>
      </w:r>
      <w:r w:rsidR="000C0F43" w:rsidRPr="000635A2">
        <w:rPr>
          <w:rFonts w:ascii="Arial" w:hAnsi="Arial" w:cs="Arial"/>
        </w:rPr>
        <w:t>a Controladoria Geral do Estado, para emissão de</w:t>
      </w:r>
      <w:r w:rsidR="00910C49" w:rsidRPr="000635A2">
        <w:rPr>
          <w:rFonts w:ascii="Arial" w:hAnsi="Arial" w:cs="Arial"/>
        </w:rPr>
        <w:t xml:space="preserve"> </w:t>
      </w:r>
      <w:r w:rsidR="000C0F43" w:rsidRPr="000635A2">
        <w:rPr>
          <w:rFonts w:ascii="Arial" w:hAnsi="Arial" w:cs="Arial"/>
        </w:rPr>
        <w:t xml:space="preserve">Relatório e Parecer, conforme item 23 da Resolução 001/2016; </w:t>
      </w:r>
    </w:p>
    <w:p w:rsidR="00CB78FC" w:rsidRPr="000635A2" w:rsidRDefault="00CB78FC" w:rsidP="000E406F">
      <w:pPr>
        <w:pStyle w:val="PargrafodaLista"/>
        <w:spacing w:before="0" w:after="0"/>
        <w:ind w:left="1211"/>
        <w:rPr>
          <w:rFonts w:ascii="Arial" w:hAnsi="Arial" w:cs="Arial"/>
        </w:rPr>
      </w:pPr>
    </w:p>
    <w:p w:rsidR="00960674" w:rsidRPr="000635A2" w:rsidRDefault="00B552F2" w:rsidP="000E406F">
      <w:pPr>
        <w:spacing w:after="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ITEM 02 – Informações Gerais de identificação, compreendendo nome, sigla, CNPJ, natureza jurídica e endereço completo do órgão ou entidade.</w:t>
      </w:r>
    </w:p>
    <w:p w:rsidR="00CB78FC" w:rsidRPr="00C81343" w:rsidRDefault="00C42EE3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C81343">
        <w:rPr>
          <w:rFonts w:ascii="Arial" w:hAnsi="Arial" w:cs="Arial"/>
        </w:rPr>
        <w:t xml:space="preserve">Às </w:t>
      </w:r>
      <w:r w:rsidR="00E62529" w:rsidRPr="00C81343">
        <w:rPr>
          <w:rFonts w:ascii="Arial" w:hAnsi="Arial" w:cs="Arial"/>
        </w:rPr>
        <w:t>fls.06/07</w:t>
      </w:r>
      <w:r w:rsidR="00DB63BA" w:rsidRPr="00C81343">
        <w:rPr>
          <w:rFonts w:ascii="Arial" w:hAnsi="Arial" w:cs="Arial"/>
        </w:rPr>
        <w:t xml:space="preserve">, </w:t>
      </w:r>
      <w:r w:rsidR="00743E6A" w:rsidRPr="00C81343">
        <w:rPr>
          <w:rFonts w:ascii="Arial" w:hAnsi="Arial" w:cs="Arial"/>
        </w:rPr>
        <w:t>observa-se</w:t>
      </w:r>
      <w:r w:rsidR="00DB63BA" w:rsidRPr="00C81343">
        <w:rPr>
          <w:rFonts w:ascii="Arial" w:hAnsi="Arial" w:cs="Arial"/>
        </w:rPr>
        <w:t xml:space="preserve"> </w:t>
      </w:r>
      <w:r w:rsidR="00E51B2E" w:rsidRPr="00C81343">
        <w:rPr>
          <w:rFonts w:ascii="Arial" w:hAnsi="Arial" w:cs="Arial"/>
        </w:rPr>
        <w:t>cópia d</w:t>
      </w:r>
      <w:r w:rsidR="00DB63BA" w:rsidRPr="00C81343">
        <w:rPr>
          <w:rFonts w:ascii="Arial" w:hAnsi="Arial" w:cs="Arial"/>
        </w:rPr>
        <w:t>as Informações Gerais de Identifi</w:t>
      </w:r>
      <w:r w:rsidR="00743E6A" w:rsidRPr="00C81343">
        <w:rPr>
          <w:rFonts w:ascii="Arial" w:hAnsi="Arial" w:cs="Arial"/>
        </w:rPr>
        <w:t xml:space="preserve">cação, compreendendo o Cadastro Nacional da Pessoa Jurídica – </w:t>
      </w:r>
      <w:r w:rsidR="00DB63BA" w:rsidRPr="00C81343">
        <w:rPr>
          <w:rFonts w:ascii="Arial" w:hAnsi="Arial" w:cs="Arial"/>
        </w:rPr>
        <w:t>CNPJ</w:t>
      </w:r>
      <w:r w:rsidR="00743E6A" w:rsidRPr="00C81343">
        <w:rPr>
          <w:rFonts w:ascii="Arial" w:hAnsi="Arial" w:cs="Arial"/>
        </w:rPr>
        <w:t>,</w:t>
      </w:r>
      <w:r w:rsidR="007826C0" w:rsidRPr="00C81343">
        <w:rPr>
          <w:rFonts w:ascii="Arial" w:hAnsi="Arial" w:cs="Arial"/>
        </w:rPr>
        <w:t xml:space="preserve"> </w:t>
      </w:r>
      <w:r w:rsidR="00743E6A" w:rsidRPr="00C81343">
        <w:rPr>
          <w:rFonts w:ascii="Arial" w:hAnsi="Arial" w:cs="Arial"/>
        </w:rPr>
        <w:t xml:space="preserve">o </w:t>
      </w:r>
      <w:r w:rsidR="007826C0" w:rsidRPr="00C81343">
        <w:rPr>
          <w:rFonts w:ascii="Arial" w:hAnsi="Arial" w:cs="Arial"/>
        </w:rPr>
        <w:t>nome da entidade</w:t>
      </w:r>
      <w:r w:rsidR="00743E6A" w:rsidRPr="00C81343">
        <w:rPr>
          <w:rFonts w:ascii="Arial" w:hAnsi="Arial" w:cs="Arial"/>
        </w:rPr>
        <w:t>, sigla,</w:t>
      </w:r>
      <w:r w:rsidR="007826C0" w:rsidRPr="00C81343">
        <w:rPr>
          <w:rFonts w:ascii="Arial" w:hAnsi="Arial" w:cs="Arial"/>
        </w:rPr>
        <w:t xml:space="preserve"> </w:t>
      </w:r>
      <w:r w:rsidR="00743E6A" w:rsidRPr="00C81343">
        <w:rPr>
          <w:rFonts w:ascii="Arial" w:hAnsi="Arial" w:cs="Arial"/>
        </w:rPr>
        <w:t xml:space="preserve">discrição </w:t>
      </w:r>
      <w:r w:rsidR="00D55B3D" w:rsidRPr="00C81343">
        <w:rPr>
          <w:rFonts w:ascii="Arial" w:hAnsi="Arial" w:cs="Arial"/>
        </w:rPr>
        <w:t>natureza jurídica</w:t>
      </w:r>
      <w:r w:rsidR="00A11B85" w:rsidRPr="00C81343">
        <w:rPr>
          <w:rFonts w:ascii="Arial" w:hAnsi="Arial" w:cs="Arial"/>
        </w:rPr>
        <w:t xml:space="preserve"> </w:t>
      </w:r>
      <w:r w:rsidR="00D55B3D" w:rsidRPr="00C81343">
        <w:rPr>
          <w:rFonts w:ascii="Arial" w:hAnsi="Arial" w:cs="Arial"/>
        </w:rPr>
        <w:t>e</w:t>
      </w:r>
      <w:r w:rsidR="00A11B85" w:rsidRPr="00C81343">
        <w:rPr>
          <w:rFonts w:ascii="Arial" w:hAnsi="Arial" w:cs="Arial"/>
        </w:rPr>
        <w:t xml:space="preserve"> </w:t>
      </w:r>
      <w:r w:rsidR="00743E6A" w:rsidRPr="00C81343">
        <w:rPr>
          <w:rFonts w:ascii="Arial" w:hAnsi="Arial" w:cs="Arial"/>
        </w:rPr>
        <w:t xml:space="preserve">atividade </w:t>
      </w:r>
      <w:r w:rsidR="00D55B3D" w:rsidRPr="00C81343">
        <w:rPr>
          <w:rFonts w:ascii="Arial" w:hAnsi="Arial" w:cs="Arial"/>
        </w:rPr>
        <w:t>da entidade,</w:t>
      </w:r>
      <w:r w:rsidR="00A11B85" w:rsidRPr="00C81343">
        <w:rPr>
          <w:rFonts w:ascii="Arial" w:hAnsi="Arial" w:cs="Arial"/>
        </w:rPr>
        <w:t xml:space="preserve"> </w:t>
      </w:r>
      <w:r w:rsidRPr="00C81343">
        <w:rPr>
          <w:rFonts w:ascii="Arial" w:hAnsi="Arial" w:cs="Arial"/>
        </w:rPr>
        <w:t>endereço completo da</w:t>
      </w:r>
      <w:r w:rsidR="00910C49" w:rsidRPr="00C81343">
        <w:rPr>
          <w:rFonts w:ascii="Arial" w:hAnsi="Arial" w:cs="Arial"/>
        </w:rPr>
        <w:t xml:space="preserve"> </w:t>
      </w:r>
      <w:r w:rsidR="002E01FA" w:rsidRPr="00C81343">
        <w:rPr>
          <w:rFonts w:ascii="Arial" w:hAnsi="Arial" w:cs="Arial"/>
        </w:rPr>
        <w:t>CEPAL</w:t>
      </w:r>
      <w:r w:rsidR="00DB63BA" w:rsidRPr="00C81343">
        <w:rPr>
          <w:rFonts w:ascii="Arial" w:hAnsi="Arial" w:cs="Arial"/>
        </w:rPr>
        <w:t>;</w:t>
      </w:r>
    </w:p>
    <w:p w:rsidR="00743E6A" w:rsidRPr="000635A2" w:rsidRDefault="00E51B2E" w:rsidP="000E406F">
      <w:pPr>
        <w:spacing w:after="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ITEM 03 – Identificação do Ordenador de despesa e dos demais responsáveis, por período de gestão, contendo o nome completo, matricula, estado civil, numero do CPF e endereço residencial atualizado anexando cópias dos respectivos atos de designação e afastamento.</w:t>
      </w:r>
    </w:p>
    <w:p w:rsidR="00106CE2" w:rsidRPr="000635A2" w:rsidRDefault="00C42EE3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Às </w:t>
      </w:r>
      <w:r w:rsidR="00E62529" w:rsidRPr="000635A2">
        <w:rPr>
          <w:rFonts w:ascii="Arial" w:hAnsi="Arial" w:cs="Arial"/>
        </w:rPr>
        <w:t>fls.08/19</w:t>
      </w:r>
      <w:r w:rsidR="00BB4329" w:rsidRPr="000635A2">
        <w:rPr>
          <w:rFonts w:ascii="Arial" w:hAnsi="Arial" w:cs="Arial"/>
        </w:rPr>
        <w:t>,</w:t>
      </w:r>
      <w:r w:rsidR="00106CE2" w:rsidRPr="000635A2">
        <w:rPr>
          <w:rFonts w:ascii="Arial" w:hAnsi="Arial" w:cs="Arial"/>
        </w:rPr>
        <w:t xml:space="preserve"> </w:t>
      </w:r>
      <w:r w:rsidR="003C42EE" w:rsidRPr="000635A2">
        <w:rPr>
          <w:rFonts w:ascii="Arial" w:hAnsi="Arial" w:cs="Arial"/>
        </w:rPr>
        <w:t>encontra-se</w:t>
      </w:r>
      <w:r w:rsidR="00E62529" w:rsidRPr="000635A2">
        <w:rPr>
          <w:rFonts w:ascii="Arial" w:hAnsi="Arial" w:cs="Arial"/>
        </w:rPr>
        <w:t xml:space="preserve"> Identificação </w:t>
      </w:r>
      <w:r w:rsidRPr="000635A2">
        <w:rPr>
          <w:rFonts w:ascii="Arial" w:hAnsi="Arial" w:cs="Arial"/>
        </w:rPr>
        <w:t>dos Ordenadores de despesa</w:t>
      </w:r>
      <w:r w:rsidR="003C42EE" w:rsidRPr="000635A2">
        <w:rPr>
          <w:rFonts w:ascii="Arial" w:hAnsi="Arial" w:cs="Arial"/>
        </w:rPr>
        <w:t xml:space="preserve">, </w:t>
      </w:r>
      <w:r w:rsidR="00BC2771" w:rsidRPr="000635A2">
        <w:rPr>
          <w:rFonts w:ascii="Arial" w:hAnsi="Arial" w:cs="Arial"/>
        </w:rPr>
        <w:t>con</w:t>
      </w:r>
      <w:r w:rsidR="00E62529" w:rsidRPr="000635A2">
        <w:rPr>
          <w:rFonts w:ascii="Arial" w:hAnsi="Arial" w:cs="Arial"/>
        </w:rPr>
        <w:t>tendo o nome completo</w:t>
      </w:r>
      <w:r w:rsidR="00BC2771" w:rsidRPr="000635A2">
        <w:rPr>
          <w:rFonts w:ascii="Arial" w:hAnsi="Arial" w:cs="Arial"/>
        </w:rPr>
        <w:t>, estado civil, numero do CPF e end</w:t>
      </w:r>
      <w:r w:rsidR="00E62529" w:rsidRPr="000635A2">
        <w:rPr>
          <w:rFonts w:ascii="Arial" w:hAnsi="Arial" w:cs="Arial"/>
        </w:rPr>
        <w:t>ereço residencial atualizado e A</w:t>
      </w:r>
      <w:r w:rsidR="00BC2771" w:rsidRPr="000635A2">
        <w:rPr>
          <w:rFonts w:ascii="Arial" w:hAnsi="Arial" w:cs="Arial"/>
        </w:rPr>
        <w:t>tos de designação e afastamento, dos cargos de</w:t>
      </w:r>
      <w:r w:rsidR="00910C49" w:rsidRPr="000635A2">
        <w:rPr>
          <w:rFonts w:ascii="Arial" w:hAnsi="Arial" w:cs="Arial"/>
        </w:rPr>
        <w:t xml:space="preserve"> </w:t>
      </w:r>
      <w:r w:rsidR="00BC2771" w:rsidRPr="000635A2">
        <w:rPr>
          <w:rFonts w:ascii="Arial" w:hAnsi="Arial" w:cs="Arial"/>
        </w:rPr>
        <w:t>ges</w:t>
      </w:r>
      <w:r w:rsidR="00DA5197" w:rsidRPr="000635A2">
        <w:rPr>
          <w:rFonts w:ascii="Arial" w:hAnsi="Arial" w:cs="Arial"/>
        </w:rPr>
        <w:t xml:space="preserve">tão na </w:t>
      </w:r>
      <w:r w:rsidR="00910C49" w:rsidRPr="000635A2">
        <w:rPr>
          <w:rFonts w:ascii="Arial" w:hAnsi="Arial" w:cs="Arial"/>
        </w:rPr>
        <w:t xml:space="preserve"> </w:t>
      </w:r>
      <w:r w:rsidR="00DA5197" w:rsidRPr="000635A2">
        <w:rPr>
          <w:rFonts w:ascii="Arial" w:hAnsi="Arial" w:cs="Arial"/>
        </w:rPr>
        <w:t xml:space="preserve">Diretoria Executivo </w:t>
      </w:r>
      <w:r w:rsidRPr="000635A2">
        <w:rPr>
          <w:rFonts w:ascii="Arial" w:hAnsi="Arial" w:cs="Arial"/>
        </w:rPr>
        <w:t>e</w:t>
      </w:r>
      <w:r w:rsidR="00CB78FC" w:rsidRPr="000635A2">
        <w:rPr>
          <w:rFonts w:ascii="Arial" w:hAnsi="Arial" w:cs="Arial"/>
        </w:rPr>
        <w:t xml:space="preserve"> </w:t>
      </w:r>
      <w:r w:rsidR="00714A0F" w:rsidRPr="000635A2">
        <w:rPr>
          <w:rFonts w:ascii="Arial" w:hAnsi="Arial" w:cs="Arial"/>
        </w:rPr>
        <w:t>os respectivos Termos de Posse;</w:t>
      </w:r>
    </w:p>
    <w:p w:rsidR="00106CE2" w:rsidRPr="000635A2" w:rsidRDefault="00106CE2" w:rsidP="000E406F">
      <w:pPr>
        <w:spacing w:after="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ITEM 04 – Certidão com nomes dos responsáveis pelo controle interno, tesouraria, almoxarifado e patrimônio, com os respectivos períodos de gestã</w:t>
      </w:r>
      <w:r w:rsidR="00CB78FC" w:rsidRPr="000635A2">
        <w:rPr>
          <w:rFonts w:ascii="Arial" w:hAnsi="Arial" w:cs="Arial"/>
        </w:rPr>
        <w:t>o, afastamentos e substituições.</w:t>
      </w:r>
    </w:p>
    <w:p w:rsidR="003C42EE" w:rsidRPr="000635A2" w:rsidRDefault="00F97B2C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>Às fls.</w:t>
      </w:r>
      <w:r w:rsidR="00106CE2" w:rsidRPr="000635A2">
        <w:rPr>
          <w:rFonts w:ascii="Arial" w:hAnsi="Arial" w:cs="Arial"/>
        </w:rPr>
        <w:t xml:space="preserve"> </w:t>
      </w:r>
      <w:r w:rsidR="005069D7" w:rsidRPr="000635A2">
        <w:rPr>
          <w:rFonts w:ascii="Arial" w:hAnsi="Arial" w:cs="Arial"/>
        </w:rPr>
        <w:t>20/21</w:t>
      </w:r>
      <w:r w:rsidR="00BC2771" w:rsidRPr="000635A2">
        <w:rPr>
          <w:rFonts w:ascii="Arial" w:hAnsi="Arial" w:cs="Arial"/>
        </w:rPr>
        <w:t>, consta</w:t>
      </w:r>
      <w:r w:rsidR="00DA4825" w:rsidRPr="000635A2">
        <w:rPr>
          <w:rFonts w:ascii="Arial" w:hAnsi="Arial" w:cs="Arial"/>
        </w:rPr>
        <w:t xml:space="preserve"> </w:t>
      </w:r>
      <w:r w:rsidR="00EA5047" w:rsidRPr="000635A2">
        <w:rPr>
          <w:rFonts w:ascii="Arial" w:hAnsi="Arial" w:cs="Arial"/>
        </w:rPr>
        <w:t>Certidão</w:t>
      </w:r>
      <w:r w:rsidR="00F17A9F" w:rsidRPr="000635A2">
        <w:rPr>
          <w:rFonts w:ascii="Arial" w:hAnsi="Arial" w:cs="Arial"/>
        </w:rPr>
        <w:t xml:space="preserve">, </w:t>
      </w:r>
      <w:r w:rsidR="00EA5047" w:rsidRPr="000635A2">
        <w:rPr>
          <w:rFonts w:ascii="Arial" w:hAnsi="Arial" w:cs="Arial"/>
        </w:rPr>
        <w:t>datada de 27/04</w:t>
      </w:r>
      <w:r w:rsidR="00F17A9F" w:rsidRPr="000635A2">
        <w:rPr>
          <w:rFonts w:ascii="Arial" w:hAnsi="Arial" w:cs="Arial"/>
        </w:rPr>
        <w:t>/2018,</w:t>
      </w:r>
      <w:r w:rsidR="00DA4825" w:rsidRPr="000635A2">
        <w:rPr>
          <w:rFonts w:ascii="Arial" w:hAnsi="Arial" w:cs="Arial"/>
          <w:b/>
        </w:rPr>
        <w:t xml:space="preserve"> </w:t>
      </w:r>
      <w:r w:rsidR="00EA5047" w:rsidRPr="000635A2">
        <w:rPr>
          <w:rFonts w:ascii="Arial" w:hAnsi="Arial" w:cs="Arial"/>
        </w:rPr>
        <w:t>da lavra do Diretor Administrativo Financeiro</w:t>
      </w:r>
      <w:r w:rsidR="00DA4825" w:rsidRPr="000635A2">
        <w:rPr>
          <w:rFonts w:ascii="Arial" w:hAnsi="Arial" w:cs="Arial"/>
        </w:rPr>
        <w:t xml:space="preserve"> </w:t>
      </w:r>
      <w:r w:rsidR="00EA5047" w:rsidRPr="000635A2">
        <w:rPr>
          <w:rFonts w:ascii="Arial" w:hAnsi="Arial" w:cs="Arial"/>
        </w:rPr>
        <w:t>Jarbas Pereira Ricardo</w:t>
      </w:r>
      <w:r w:rsidR="00106CE2" w:rsidRPr="000635A2">
        <w:rPr>
          <w:rFonts w:ascii="Arial" w:hAnsi="Arial" w:cs="Arial"/>
        </w:rPr>
        <w:t xml:space="preserve">, </w:t>
      </w:r>
      <w:r w:rsidRPr="000635A2">
        <w:rPr>
          <w:rFonts w:ascii="Arial" w:hAnsi="Arial" w:cs="Arial"/>
        </w:rPr>
        <w:t xml:space="preserve"> </w:t>
      </w:r>
      <w:r w:rsidR="003C42EE" w:rsidRPr="000635A2">
        <w:rPr>
          <w:rFonts w:ascii="Arial" w:hAnsi="Arial" w:cs="Arial"/>
        </w:rPr>
        <w:t xml:space="preserve">relacionando </w:t>
      </w:r>
      <w:r w:rsidR="00BC2771" w:rsidRPr="000635A2">
        <w:rPr>
          <w:rFonts w:ascii="Arial" w:hAnsi="Arial" w:cs="Arial"/>
        </w:rPr>
        <w:t xml:space="preserve">os </w:t>
      </w:r>
      <w:r w:rsidR="003C42EE" w:rsidRPr="000635A2">
        <w:rPr>
          <w:rFonts w:ascii="Arial" w:hAnsi="Arial" w:cs="Arial"/>
        </w:rPr>
        <w:t>funcionários que assumiram cargos de respo</w:t>
      </w:r>
      <w:r w:rsidR="00F17A9F" w:rsidRPr="000635A2">
        <w:rPr>
          <w:rFonts w:ascii="Arial" w:hAnsi="Arial" w:cs="Arial"/>
        </w:rPr>
        <w:t>n</w:t>
      </w:r>
      <w:r w:rsidR="00EA5047" w:rsidRPr="000635A2">
        <w:rPr>
          <w:rFonts w:ascii="Arial" w:hAnsi="Arial" w:cs="Arial"/>
        </w:rPr>
        <w:t>sabilidade nos setores:</w:t>
      </w:r>
      <w:r w:rsidR="00F17A9F" w:rsidRPr="000635A2">
        <w:rPr>
          <w:rFonts w:ascii="Arial" w:hAnsi="Arial" w:cs="Arial"/>
        </w:rPr>
        <w:t xml:space="preserve"> Tesouraria, </w:t>
      </w:r>
      <w:r w:rsidR="00EA5047" w:rsidRPr="000635A2">
        <w:rPr>
          <w:rFonts w:ascii="Arial" w:hAnsi="Arial" w:cs="Arial"/>
        </w:rPr>
        <w:t xml:space="preserve"> </w:t>
      </w:r>
      <w:r w:rsidR="00F17A9F" w:rsidRPr="000635A2">
        <w:rPr>
          <w:rFonts w:ascii="Arial" w:hAnsi="Arial" w:cs="Arial"/>
        </w:rPr>
        <w:t>Almoxarifado e Patrimônio</w:t>
      </w:r>
      <w:r w:rsidR="00EA5047" w:rsidRPr="000635A2">
        <w:rPr>
          <w:rFonts w:ascii="Arial" w:hAnsi="Arial" w:cs="Arial"/>
        </w:rPr>
        <w:t>;</w:t>
      </w:r>
    </w:p>
    <w:p w:rsidR="00E51B2E" w:rsidRPr="000635A2" w:rsidRDefault="00F97B2C" w:rsidP="000E406F">
      <w:pPr>
        <w:spacing w:after="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ITEM 05 – Termo de Conferência das disponibilidades financeiras (caixa e bancos) com a</w:t>
      </w:r>
      <w:r w:rsidR="00AD05E0" w:rsidRPr="000635A2">
        <w:rPr>
          <w:rFonts w:ascii="Arial" w:hAnsi="Arial" w:cs="Arial"/>
        </w:rPr>
        <w:t>ssinatura (s) do(s) responsável.</w:t>
      </w:r>
    </w:p>
    <w:p w:rsidR="001B3D62" w:rsidRPr="000635A2" w:rsidRDefault="00BB4329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  <w:b/>
        </w:rPr>
      </w:pPr>
      <w:r w:rsidRPr="000635A2">
        <w:rPr>
          <w:rFonts w:ascii="Arial" w:hAnsi="Arial" w:cs="Arial"/>
        </w:rPr>
        <w:t xml:space="preserve">Às fls. </w:t>
      </w:r>
      <w:r w:rsidR="00596129" w:rsidRPr="000635A2">
        <w:rPr>
          <w:rFonts w:ascii="Arial" w:hAnsi="Arial" w:cs="Arial"/>
        </w:rPr>
        <w:t>22/23</w:t>
      </w:r>
      <w:r w:rsidRPr="000635A2">
        <w:rPr>
          <w:rFonts w:ascii="Arial" w:hAnsi="Arial" w:cs="Arial"/>
        </w:rPr>
        <w:t>, observa</w:t>
      </w:r>
      <w:r w:rsidR="00106CE2" w:rsidRPr="000635A2">
        <w:rPr>
          <w:rFonts w:ascii="Arial" w:hAnsi="Arial" w:cs="Arial"/>
        </w:rPr>
        <w:t xml:space="preserve">-se o Termo de Conferencia, datado de </w:t>
      </w:r>
      <w:r w:rsidR="00910C49" w:rsidRPr="000635A2">
        <w:rPr>
          <w:rFonts w:ascii="Arial" w:hAnsi="Arial" w:cs="Arial"/>
        </w:rPr>
        <w:t>30</w:t>
      </w:r>
      <w:r w:rsidR="00106CE2" w:rsidRPr="000635A2">
        <w:rPr>
          <w:rFonts w:ascii="Arial" w:hAnsi="Arial" w:cs="Arial"/>
        </w:rPr>
        <w:t>/12/2017,</w:t>
      </w:r>
      <w:r w:rsidRPr="000635A2">
        <w:rPr>
          <w:rFonts w:ascii="Arial" w:hAnsi="Arial" w:cs="Arial"/>
        </w:rPr>
        <w:t xml:space="preserve"> contendo</w:t>
      </w:r>
      <w:r w:rsidR="00925375" w:rsidRPr="000635A2">
        <w:rPr>
          <w:rFonts w:ascii="Arial" w:hAnsi="Arial" w:cs="Arial"/>
        </w:rPr>
        <w:t xml:space="preserve"> </w:t>
      </w:r>
      <w:r w:rsidR="00F17A9F" w:rsidRPr="000635A2">
        <w:rPr>
          <w:rFonts w:ascii="Arial" w:hAnsi="Arial" w:cs="Arial"/>
        </w:rPr>
        <w:t xml:space="preserve">as </w:t>
      </w:r>
      <w:r w:rsidRPr="000635A2">
        <w:rPr>
          <w:rFonts w:ascii="Arial" w:hAnsi="Arial" w:cs="Arial"/>
        </w:rPr>
        <w:t>assinatura</w:t>
      </w:r>
      <w:r w:rsidR="00F17A9F" w:rsidRPr="000635A2">
        <w:rPr>
          <w:rFonts w:ascii="Arial" w:hAnsi="Arial" w:cs="Arial"/>
        </w:rPr>
        <w:t>s</w:t>
      </w:r>
      <w:r w:rsidRPr="000635A2">
        <w:rPr>
          <w:rFonts w:ascii="Arial" w:hAnsi="Arial" w:cs="Arial"/>
        </w:rPr>
        <w:t xml:space="preserve"> </w:t>
      </w:r>
      <w:r w:rsidR="00596129" w:rsidRPr="000635A2">
        <w:rPr>
          <w:rFonts w:ascii="Arial" w:hAnsi="Arial" w:cs="Arial"/>
        </w:rPr>
        <w:t xml:space="preserve">de Williams Vasconcelos Silva  </w:t>
      </w:r>
      <w:r w:rsidR="00C67DB9" w:rsidRPr="000635A2">
        <w:rPr>
          <w:rFonts w:ascii="Arial" w:hAnsi="Arial" w:cs="Arial"/>
        </w:rPr>
        <w:t xml:space="preserve"> – Presidente da comissão, </w:t>
      </w:r>
      <w:r w:rsidR="00596129" w:rsidRPr="000635A2">
        <w:rPr>
          <w:rFonts w:ascii="Arial" w:hAnsi="Arial" w:cs="Arial"/>
        </w:rPr>
        <w:t>membros:</w:t>
      </w:r>
      <w:r w:rsidR="00C67DB9" w:rsidRPr="000635A2">
        <w:rPr>
          <w:rFonts w:ascii="Arial" w:hAnsi="Arial" w:cs="Arial"/>
        </w:rPr>
        <w:t xml:space="preserve"> Jacqueline Cândido dos Santos e </w:t>
      </w:r>
      <w:r w:rsidR="00596129" w:rsidRPr="000635A2">
        <w:rPr>
          <w:rFonts w:ascii="Arial" w:hAnsi="Arial" w:cs="Arial"/>
        </w:rPr>
        <w:t xml:space="preserve">Tatiana Valeska Maia Aires e </w:t>
      </w:r>
      <w:r w:rsidR="00C67DB9" w:rsidRPr="000635A2">
        <w:rPr>
          <w:rFonts w:ascii="Arial" w:hAnsi="Arial" w:cs="Arial"/>
        </w:rPr>
        <w:t xml:space="preserve">da Assessora Financeira - Grace Rouse Costa Ferreira, </w:t>
      </w:r>
      <w:r w:rsidR="00CD382A" w:rsidRPr="000635A2">
        <w:rPr>
          <w:rFonts w:ascii="Arial" w:hAnsi="Arial" w:cs="Arial"/>
        </w:rPr>
        <w:t xml:space="preserve">contendo as informações </w:t>
      </w:r>
      <w:r w:rsidR="00277208" w:rsidRPr="000635A2">
        <w:rPr>
          <w:rFonts w:ascii="Arial" w:hAnsi="Arial" w:cs="Arial"/>
        </w:rPr>
        <w:t>referente aos saldos das disponibilidades financeiras em bancos</w:t>
      </w:r>
      <w:r w:rsidR="00AD05E0" w:rsidRPr="000635A2">
        <w:rPr>
          <w:rFonts w:ascii="Arial" w:hAnsi="Arial" w:cs="Arial"/>
        </w:rPr>
        <w:t>, existentes no  final do exercício de 2017</w:t>
      </w:r>
      <w:r w:rsidR="00277208" w:rsidRPr="000635A2">
        <w:rPr>
          <w:rFonts w:ascii="Arial" w:hAnsi="Arial" w:cs="Arial"/>
        </w:rPr>
        <w:t>;</w:t>
      </w:r>
    </w:p>
    <w:p w:rsidR="00277208" w:rsidRPr="000635A2" w:rsidRDefault="00277208" w:rsidP="000E406F">
      <w:pPr>
        <w:pStyle w:val="PargrafodaLista"/>
        <w:spacing w:before="0" w:after="0"/>
        <w:ind w:left="0"/>
        <w:rPr>
          <w:rFonts w:ascii="Arial" w:hAnsi="Arial" w:cs="Arial"/>
          <w:b/>
        </w:rPr>
      </w:pPr>
      <w:r w:rsidRPr="000635A2">
        <w:rPr>
          <w:rFonts w:ascii="Arial" w:hAnsi="Arial" w:cs="Arial"/>
        </w:rPr>
        <w:t>ITEM 06 – Relação de todas as Contas Bancárias existentes, ainda que não movimentadas no exercício, informando sua finalidade.</w:t>
      </w:r>
    </w:p>
    <w:p w:rsidR="001B3D62" w:rsidRPr="000635A2" w:rsidRDefault="00925375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>Às fls.24/25</w:t>
      </w:r>
      <w:r w:rsidR="00BB4329" w:rsidRPr="000635A2">
        <w:rPr>
          <w:rFonts w:ascii="Arial" w:hAnsi="Arial" w:cs="Arial"/>
        </w:rPr>
        <w:t>, apresenta relação de todas as contas bancárias existentes, ainda que não movimentadas no</w:t>
      </w:r>
      <w:r w:rsidRPr="000635A2">
        <w:rPr>
          <w:rFonts w:ascii="Arial" w:hAnsi="Arial" w:cs="Arial"/>
        </w:rPr>
        <w:t xml:space="preserve"> exercício</w:t>
      </w:r>
      <w:r w:rsidR="00BB4329" w:rsidRPr="000635A2">
        <w:rPr>
          <w:rFonts w:ascii="Arial" w:hAnsi="Arial" w:cs="Arial"/>
        </w:rPr>
        <w:t xml:space="preserve">, </w:t>
      </w:r>
      <w:r w:rsidR="00F70642" w:rsidRPr="000635A2">
        <w:rPr>
          <w:rFonts w:ascii="Arial" w:hAnsi="Arial" w:cs="Arial"/>
        </w:rPr>
        <w:t>informando a finalidade das contas Bancárias existentes</w:t>
      </w:r>
      <w:r w:rsidR="00C67DB9" w:rsidRPr="000635A2">
        <w:rPr>
          <w:rFonts w:ascii="Arial" w:hAnsi="Arial" w:cs="Arial"/>
        </w:rPr>
        <w:t>,</w:t>
      </w:r>
      <w:r w:rsidR="00F70642" w:rsidRPr="000635A2">
        <w:rPr>
          <w:rFonts w:ascii="Arial" w:hAnsi="Arial" w:cs="Arial"/>
        </w:rPr>
        <w:t xml:space="preserve"> na relação apresen</w:t>
      </w:r>
      <w:r w:rsidR="00C67DB9" w:rsidRPr="000635A2">
        <w:rPr>
          <w:rFonts w:ascii="Arial" w:hAnsi="Arial" w:cs="Arial"/>
        </w:rPr>
        <w:t xml:space="preserve">ta pela </w:t>
      </w:r>
      <w:r w:rsidR="00C12D3D" w:rsidRPr="000635A2">
        <w:rPr>
          <w:rFonts w:ascii="Arial" w:hAnsi="Arial" w:cs="Arial"/>
        </w:rPr>
        <w:t>C</w:t>
      </w:r>
      <w:r w:rsidR="00C67DB9" w:rsidRPr="000635A2">
        <w:rPr>
          <w:rFonts w:ascii="Arial" w:hAnsi="Arial" w:cs="Arial"/>
        </w:rPr>
        <w:t>ompanhia consta</w:t>
      </w:r>
      <w:r w:rsidR="00302D70" w:rsidRPr="000635A2">
        <w:rPr>
          <w:rFonts w:ascii="Arial" w:hAnsi="Arial" w:cs="Arial"/>
        </w:rPr>
        <w:t xml:space="preserve"> </w:t>
      </w:r>
      <w:r w:rsidR="00C67DB9" w:rsidRPr="000635A2">
        <w:rPr>
          <w:rFonts w:ascii="Arial" w:hAnsi="Arial" w:cs="Arial"/>
        </w:rPr>
        <w:t>a assinatura</w:t>
      </w:r>
      <w:r w:rsidR="001B3D62" w:rsidRPr="000635A2">
        <w:rPr>
          <w:rFonts w:ascii="Arial" w:hAnsi="Arial" w:cs="Arial"/>
        </w:rPr>
        <w:t xml:space="preserve"> de </w:t>
      </w:r>
      <w:r w:rsidRPr="000635A2">
        <w:rPr>
          <w:rFonts w:ascii="Arial" w:hAnsi="Arial" w:cs="Arial"/>
        </w:rPr>
        <w:t xml:space="preserve">Williams Vasconcelos Silva </w:t>
      </w:r>
      <w:r w:rsidR="001B3D62" w:rsidRPr="000635A2">
        <w:rPr>
          <w:rFonts w:ascii="Arial" w:hAnsi="Arial" w:cs="Arial"/>
        </w:rPr>
        <w:t xml:space="preserve">- </w:t>
      </w:r>
      <w:r w:rsidRPr="000635A2">
        <w:rPr>
          <w:rFonts w:ascii="Arial" w:hAnsi="Arial" w:cs="Arial"/>
        </w:rPr>
        <w:t xml:space="preserve"> Contador  da CEPAL; </w:t>
      </w:r>
    </w:p>
    <w:p w:rsidR="00277208" w:rsidRPr="000635A2" w:rsidRDefault="00277208" w:rsidP="000E406F">
      <w:pPr>
        <w:spacing w:after="0"/>
        <w:jc w:val="both"/>
        <w:rPr>
          <w:rFonts w:ascii="Arial" w:hAnsi="Arial" w:cs="Arial"/>
          <w:b/>
        </w:rPr>
      </w:pPr>
      <w:r w:rsidRPr="000635A2">
        <w:rPr>
          <w:rFonts w:ascii="Arial" w:hAnsi="Arial" w:cs="Arial"/>
        </w:rPr>
        <w:t>ITEM 07 – Conciliação e Extratos Bancários que comprove o saldo existente no final do exercício.</w:t>
      </w:r>
    </w:p>
    <w:p w:rsidR="00277208" w:rsidRPr="000635A2" w:rsidRDefault="00302D70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>Às fls.26/39</w:t>
      </w:r>
      <w:r w:rsidR="00E55B4A" w:rsidRPr="000635A2">
        <w:rPr>
          <w:rFonts w:ascii="Arial" w:hAnsi="Arial" w:cs="Arial"/>
        </w:rPr>
        <w:t xml:space="preserve">, verifica-se cópias das </w:t>
      </w:r>
      <w:r w:rsidR="00F70642" w:rsidRPr="000635A2">
        <w:rPr>
          <w:rFonts w:ascii="Arial" w:hAnsi="Arial" w:cs="Arial"/>
        </w:rPr>
        <w:t>Conciliações e Extratos</w:t>
      </w:r>
      <w:r w:rsidR="000706C4" w:rsidRPr="000635A2">
        <w:rPr>
          <w:rFonts w:ascii="Arial" w:hAnsi="Arial" w:cs="Arial"/>
        </w:rPr>
        <w:t xml:space="preserve"> Bancárias, que comprova</w:t>
      </w:r>
      <w:r w:rsidR="00AD05E0" w:rsidRPr="000635A2">
        <w:rPr>
          <w:rFonts w:ascii="Arial" w:hAnsi="Arial" w:cs="Arial"/>
        </w:rPr>
        <w:t xml:space="preserve"> </w:t>
      </w:r>
      <w:r w:rsidR="00F70642" w:rsidRPr="000635A2">
        <w:rPr>
          <w:rFonts w:ascii="Arial" w:hAnsi="Arial" w:cs="Arial"/>
        </w:rPr>
        <w:t>o saldo existen</w:t>
      </w:r>
      <w:r w:rsidR="00AD05E0" w:rsidRPr="000635A2">
        <w:rPr>
          <w:rFonts w:ascii="Arial" w:hAnsi="Arial" w:cs="Arial"/>
        </w:rPr>
        <w:t>te</w:t>
      </w:r>
      <w:r w:rsidR="000706C4" w:rsidRPr="000635A2">
        <w:rPr>
          <w:rFonts w:ascii="Arial" w:hAnsi="Arial" w:cs="Arial"/>
        </w:rPr>
        <w:t xml:space="preserve"> </w:t>
      </w:r>
      <w:r w:rsidR="00AD05E0" w:rsidRPr="000635A2">
        <w:rPr>
          <w:rFonts w:ascii="Arial" w:hAnsi="Arial" w:cs="Arial"/>
        </w:rPr>
        <w:t>no</w:t>
      </w:r>
      <w:r w:rsidR="00254F8B" w:rsidRPr="000635A2">
        <w:rPr>
          <w:rFonts w:ascii="Arial" w:hAnsi="Arial" w:cs="Arial"/>
        </w:rPr>
        <w:t xml:space="preserve"> </w:t>
      </w:r>
      <w:r w:rsidR="00AD05E0" w:rsidRPr="000635A2">
        <w:rPr>
          <w:rFonts w:ascii="Arial" w:hAnsi="Arial" w:cs="Arial"/>
        </w:rPr>
        <w:t>final do exercício de 2017</w:t>
      </w:r>
      <w:r w:rsidR="001B3D62" w:rsidRPr="000635A2">
        <w:rPr>
          <w:rFonts w:ascii="Arial" w:hAnsi="Arial" w:cs="Arial"/>
        </w:rPr>
        <w:t>, contendo a respectiva</w:t>
      </w:r>
      <w:r w:rsidR="00AD05E0" w:rsidRPr="000635A2">
        <w:rPr>
          <w:rFonts w:ascii="Arial" w:hAnsi="Arial" w:cs="Arial"/>
        </w:rPr>
        <w:t xml:space="preserve"> </w:t>
      </w:r>
      <w:r w:rsidR="001B3D62" w:rsidRPr="000635A2">
        <w:rPr>
          <w:rFonts w:ascii="Arial" w:hAnsi="Arial" w:cs="Arial"/>
        </w:rPr>
        <w:t xml:space="preserve">assinatura </w:t>
      </w:r>
      <w:r w:rsidR="00DB3260" w:rsidRPr="000635A2">
        <w:rPr>
          <w:rFonts w:ascii="Arial" w:hAnsi="Arial" w:cs="Arial"/>
        </w:rPr>
        <w:t xml:space="preserve">nas Conciliações de </w:t>
      </w:r>
      <w:r w:rsidRPr="000635A2">
        <w:rPr>
          <w:rFonts w:ascii="Arial" w:hAnsi="Arial" w:cs="Arial"/>
        </w:rPr>
        <w:t>Williams Vas</w:t>
      </w:r>
      <w:r w:rsidR="001D54DD" w:rsidRPr="000635A2">
        <w:rPr>
          <w:rFonts w:ascii="Arial" w:hAnsi="Arial" w:cs="Arial"/>
        </w:rPr>
        <w:t xml:space="preserve">concelos Silva - </w:t>
      </w:r>
      <w:r w:rsidRPr="000635A2">
        <w:rPr>
          <w:rFonts w:ascii="Arial" w:hAnsi="Arial" w:cs="Arial"/>
        </w:rPr>
        <w:t>Contador da</w:t>
      </w:r>
      <w:r w:rsidR="00AB27DC" w:rsidRPr="000635A2">
        <w:rPr>
          <w:rFonts w:ascii="Arial" w:hAnsi="Arial" w:cs="Arial"/>
        </w:rPr>
        <w:t xml:space="preserve"> </w:t>
      </w:r>
      <w:r w:rsidR="002E01FA" w:rsidRPr="000635A2">
        <w:rPr>
          <w:rFonts w:ascii="Arial" w:hAnsi="Arial" w:cs="Arial"/>
        </w:rPr>
        <w:t>CEPA</w:t>
      </w:r>
      <w:r w:rsidR="00254F8B" w:rsidRPr="000635A2">
        <w:rPr>
          <w:rFonts w:ascii="Arial" w:hAnsi="Arial" w:cs="Arial"/>
        </w:rPr>
        <w:t>L</w:t>
      </w:r>
      <w:r w:rsidR="00804A7C" w:rsidRPr="000635A2">
        <w:rPr>
          <w:rFonts w:ascii="Arial" w:hAnsi="Arial" w:cs="Arial"/>
        </w:rPr>
        <w:t>;</w:t>
      </w:r>
      <w:r w:rsidR="001B3D62" w:rsidRPr="000635A2">
        <w:rPr>
          <w:rFonts w:ascii="Arial" w:hAnsi="Arial" w:cs="Arial"/>
        </w:rPr>
        <w:t xml:space="preserve"> </w:t>
      </w:r>
    </w:p>
    <w:p w:rsidR="001B3D62" w:rsidRPr="000635A2" w:rsidRDefault="001B3D62" w:rsidP="000E406F">
      <w:pPr>
        <w:pStyle w:val="PargrafodaLista"/>
        <w:spacing w:after="0"/>
        <w:ind w:left="1211"/>
        <w:rPr>
          <w:rFonts w:ascii="Arial" w:hAnsi="Arial" w:cs="Arial"/>
        </w:rPr>
      </w:pPr>
    </w:p>
    <w:p w:rsidR="00B44B70" w:rsidRPr="000635A2" w:rsidRDefault="00B44B70" w:rsidP="000E406F">
      <w:pPr>
        <w:spacing w:after="0"/>
        <w:rPr>
          <w:rFonts w:ascii="Arial" w:hAnsi="Arial" w:cs="Arial"/>
          <w:b/>
        </w:rPr>
      </w:pPr>
      <w:r w:rsidRPr="000635A2">
        <w:rPr>
          <w:rFonts w:ascii="Arial" w:hAnsi="Arial" w:cs="Arial"/>
        </w:rPr>
        <w:lastRenderedPageBreak/>
        <w:t>ITEM 08 – Parecer do Conselho Fiscal.</w:t>
      </w:r>
    </w:p>
    <w:p w:rsidR="00665386" w:rsidRPr="000635A2" w:rsidRDefault="00254F8B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  <w:i/>
        </w:rPr>
      </w:pPr>
      <w:r w:rsidRPr="000635A2">
        <w:rPr>
          <w:rFonts w:ascii="Arial" w:hAnsi="Arial" w:cs="Arial"/>
        </w:rPr>
        <w:t>Às fls.40/41</w:t>
      </w:r>
      <w:r w:rsidR="00C46003" w:rsidRPr="000635A2">
        <w:rPr>
          <w:rFonts w:ascii="Arial" w:hAnsi="Arial" w:cs="Arial"/>
        </w:rPr>
        <w:t xml:space="preserve">, </w:t>
      </w:r>
      <w:r w:rsidR="003C42EE" w:rsidRPr="000635A2">
        <w:rPr>
          <w:rFonts w:ascii="Arial" w:hAnsi="Arial" w:cs="Arial"/>
        </w:rPr>
        <w:t xml:space="preserve">encontra-se </w:t>
      </w:r>
      <w:r w:rsidRPr="000635A2">
        <w:rPr>
          <w:rFonts w:ascii="Arial" w:hAnsi="Arial" w:cs="Arial"/>
        </w:rPr>
        <w:t xml:space="preserve">Nota Explicativa, datada em 27/04/2018, referente ao </w:t>
      </w:r>
      <w:r w:rsidR="003C42EE" w:rsidRPr="000635A2">
        <w:rPr>
          <w:rFonts w:ascii="Arial" w:hAnsi="Arial" w:cs="Arial"/>
        </w:rPr>
        <w:t>Parecer do Conselho Fiscal</w:t>
      </w:r>
      <w:r w:rsidRPr="000635A2">
        <w:rPr>
          <w:rFonts w:ascii="Arial" w:hAnsi="Arial" w:cs="Arial"/>
        </w:rPr>
        <w:t xml:space="preserve"> da</w:t>
      </w:r>
      <w:r w:rsidR="003C42EE" w:rsidRPr="000635A2">
        <w:rPr>
          <w:rFonts w:ascii="Arial" w:hAnsi="Arial" w:cs="Arial"/>
        </w:rPr>
        <w:t xml:space="preserve"> lavra </w:t>
      </w:r>
      <w:r w:rsidRPr="000635A2">
        <w:rPr>
          <w:rFonts w:ascii="Arial" w:hAnsi="Arial" w:cs="Arial"/>
        </w:rPr>
        <w:t xml:space="preserve">Dagoberto Costa Silva de Omena – Diretor Presidente, informando que: </w:t>
      </w:r>
      <w:r w:rsidR="00DB3260" w:rsidRPr="000635A2">
        <w:rPr>
          <w:rFonts w:ascii="Arial" w:hAnsi="Arial" w:cs="Arial"/>
        </w:rPr>
        <w:t>“</w:t>
      </w:r>
      <w:r w:rsidRPr="000635A2">
        <w:rPr>
          <w:rFonts w:ascii="Arial" w:hAnsi="Arial" w:cs="Arial"/>
          <w:i/>
          <w:u w:val="single"/>
        </w:rPr>
        <w:t>o Conselho Fiscal da Companhia só apresenta o parecer tend</w:t>
      </w:r>
      <w:r w:rsidR="006D60E0" w:rsidRPr="000635A2">
        <w:rPr>
          <w:rFonts w:ascii="Arial" w:hAnsi="Arial" w:cs="Arial"/>
          <w:i/>
          <w:u w:val="single"/>
        </w:rPr>
        <w:t>o como base o parecer da Controladoria</w:t>
      </w:r>
      <w:r w:rsidRPr="000635A2">
        <w:rPr>
          <w:rFonts w:ascii="Arial" w:hAnsi="Arial" w:cs="Arial"/>
          <w:i/>
          <w:u w:val="single"/>
        </w:rPr>
        <w:t xml:space="preserve"> Geral do Estado, ain</w:t>
      </w:r>
      <w:r w:rsidR="006D60E0" w:rsidRPr="000635A2">
        <w:rPr>
          <w:rFonts w:ascii="Arial" w:hAnsi="Arial" w:cs="Arial"/>
          <w:i/>
          <w:u w:val="single"/>
        </w:rPr>
        <w:t xml:space="preserve">da não foi fornecendo pela </w:t>
      </w:r>
      <w:r w:rsidR="00DB3260" w:rsidRPr="000635A2">
        <w:rPr>
          <w:rFonts w:ascii="Arial" w:hAnsi="Arial" w:cs="Arial"/>
          <w:i/>
          <w:u w:val="single"/>
        </w:rPr>
        <w:t>Controladoria</w:t>
      </w:r>
      <w:r w:rsidR="00DB3260" w:rsidRPr="000635A2">
        <w:rPr>
          <w:rFonts w:ascii="Arial" w:hAnsi="Arial" w:cs="Arial"/>
        </w:rPr>
        <w:t>”</w:t>
      </w:r>
      <w:r w:rsidRPr="000635A2">
        <w:rPr>
          <w:rFonts w:ascii="Arial" w:hAnsi="Arial" w:cs="Arial"/>
        </w:rPr>
        <w:t>;</w:t>
      </w:r>
    </w:p>
    <w:p w:rsidR="00B44B70" w:rsidRPr="000635A2" w:rsidRDefault="00665386" w:rsidP="000E406F">
      <w:pPr>
        <w:pStyle w:val="PargrafodaLista"/>
        <w:spacing w:after="0"/>
        <w:ind w:left="0"/>
        <w:rPr>
          <w:rFonts w:ascii="Arial" w:hAnsi="Arial" w:cs="Arial"/>
        </w:rPr>
      </w:pPr>
      <w:r w:rsidRPr="000635A2">
        <w:rPr>
          <w:rFonts w:ascii="Arial" w:hAnsi="Arial" w:cs="Arial"/>
        </w:rPr>
        <w:t>ITEM 09 – Parecer dos Auditores Independentes.</w:t>
      </w:r>
    </w:p>
    <w:p w:rsidR="00DB3260" w:rsidRPr="000635A2" w:rsidRDefault="00C46003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>Às fls.</w:t>
      </w:r>
      <w:r w:rsidR="00DB3260" w:rsidRPr="000635A2">
        <w:rPr>
          <w:rFonts w:ascii="Arial" w:hAnsi="Arial" w:cs="Arial"/>
        </w:rPr>
        <w:t>42/43</w:t>
      </w:r>
      <w:r w:rsidRPr="000635A2">
        <w:rPr>
          <w:rFonts w:ascii="Arial" w:hAnsi="Arial" w:cs="Arial"/>
        </w:rPr>
        <w:t xml:space="preserve">, encontra-se </w:t>
      </w:r>
      <w:r w:rsidR="00DB3260" w:rsidRPr="000635A2">
        <w:rPr>
          <w:rFonts w:ascii="Arial" w:hAnsi="Arial" w:cs="Arial"/>
        </w:rPr>
        <w:t>Nota Explicativa, datada de 27</w:t>
      </w:r>
      <w:r w:rsidR="00890CF0" w:rsidRPr="000635A2">
        <w:rPr>
          <w:rFonts w:ascii="Arial" w:hAnsi="Arial" w:cs="Arial"/>
        </w:rPr>
        <w:t>/04/2018,</w:t>
      </w:r>
      <w:r w:rsidR="00C63528" w:rsidRPr="000635A2">
        <w:rPr>
          <w:rFonts w:ascii="Arial" w:hAnsi="Arial" w:cs="Arial"/>
        </w:rPr>
        <w:t xml:space="preserve"> </w:t>
      </w:r>
      <w:r w:rsidR="00890CF0" w:rsidRPr="000635A2">
        <w:rPr>
          <w:rFonts w:ascii="Arial" w:hAnsi="Arial" w:cs="Arial"/>
        </w:rPr>
        <w:t>referente</w:t>
      </w:r>
      <w:r w:rsidR="00C63528" w:rsidRPr="000635A2">
        <w:rPr>
          <w:rFonts w:ascii="Arial" w:hAnsi="Arial" w:cs="Arial"/>
        </w:rPr>
        <w:t xml:space="preserve"> </w:t>
      </w:r>
      <w:r w:rsidR="00890CF0" w:rsidRPr="000635A2">
        <w:rPr>
          <w:rFonts w:ascii="Arial" w:hAnsi="Arial" w:cs="Arial"/>
        </w:rPr>
        <w:t>a</w:t>
      </w:r>
      <w:r w:rsidRPr="000635A2">
        <w:rPr>
          <w:rFonts w:ascii="Arial" w:hAnsi="Arial" w:cs="Arial"/>
        </w:rPr>
        <w:t xml:space="preserve">o </w:t>
      </w:r>
      <w:r w:rsidR="00890CF0" w:rsidRPr="000635A2">
        <w:rPr>
          <w:rFonts w:ascii="Arial" w:hAnsi="Arial" w:cs="Arial"/>
        </w:rPr>
        <w:t xml:space="preserve">Parecer dos Auditores Independente, da lavra </w:t>
      </w:r>
      <w:r w:rsidR="00DB3260" w:rsidRPr="000635A2">
        <w:rPr>
          <w:rFonts w:ascii="Arial" w:hAnsi="Arial" w:cs="Arial"/>
        </w:rPr>
        <w:t>Dagoberto Costa Silva de Omena – Diretor Presidente</w:t>
      </w:r>
      <w:r w:rsidR="00890CF0" w:rsidRPr="000635A2">
        <w:rPr>
          <w:rFonts w:ascii="Arial" w:hAnsi="Arial" w:cs="Arial"/>
        </w:rPr>
        <w:t>,</w:t>
      </w:r>
      <w:r w:rsidR="00DB3260" w:rsidRPr="000635A2">
        <w:rPr>
          <w:rFonts w:ascii="Arial" w:hAnsi="Arial" w:cs="Arial"/>
        </w:rPr>
        <w:t xml:space="preserve"> informando</w:t>
      </w:r>
      <w:r w:rsidR="00890CF0" w:rsidRPr="000635A2">
        <w:rPr>
          <w:rFonts w:ascii="Arial" w:hAnsi="Arial" w:cs="Arial"/>
        </w:rPr>
        <w:t xml:space="preserve"> que:</w:t>
      </w:r>
      <w:r w:rsidR="00DB3260" w:rsidRPr="000635A2">
        <w:rPr>
          <w:rFonts w:ascii="Arial" w:hAnsi="Arial" w:cs="Arial"/>
        </w:rPr>
        <w:t xml:space="preserve">                </w:t>
      </w:r>
      <w:r w:rsidR="00890CF0" w:rsidRPr="000635A2">
        <w:rPr>
          <w:rFonts w:ascii="Arial" w:hAnsi="Arial" w:cs="Arial"/>
        </w:rPr>
        <w:t xml:space="preserve"> </w:t>
      </w:r>
      <w:r w:rsidR="00C63528" w:rsidRPr="000635A2">
        <w:rPr>
          <w:rFonts w:ascii="Arial" w:hAnsi="Arial" w:cs="Arial"/>
        </w:rPr>
        <w:t>“</w:t>
      </w:r>
      <w:r w:rsidR="00DB3260" w:rsidRPr="000635A2">
        <w:rPr>
          <w:rFonts w:ascii="Arial" w:hAnsi="Arial" w:cs="Arial"/>
          <w:i/>
          <w:u w:val="single"/>
        </w:rPr>
        <w:t>não há auditoria independente na Companhia, sendo a mesma auditada pela Controladoria Geral do Estado e Tribunal de Contas do Estado de Alagoas</w:t>
      </w:r>
      <w:r w:rsidR="00DB3260" w:rsidRPr="000635A2">
        <w:rPr>
          <w:rFonts w:ascii="Arial" w:hAnsi="Arial" w:cs="Arial"/>
          <w:u w:val="single"/>
        </w:rPr>
        <w:t>”;</w:t>
      </w:r>
      <w:r w:rsidR="00DB3260" w:rsidRPr="000635A2">
        <w:rPr>
          <w:rFonts w:ascii="Arial" w:hAnsi="Arial" w:cs="Arial"/>
        </w:rPr>
        <w:t xml:space="preserve"> </w:t>
      </w:r>
    </w:p>
    <w:p w:rsidR="00E4075B" w:rsidRPr="000635A2" w:rsidRDefault="00E4075B" w:rsidP="000E406F">
      <w:p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>ITEM 10 – Balanço Patrimonial.</w:t>
      </w:r>
    </w:p>
    <w:p w:rsidR="00466FE5" w:rsidRPr="000A437C" w:rsidRDefault="00DB3260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>Às fls 44/46</w:t>
      </w:r>
      <w:r w:rsidR="00A26965" w:rsidRPr="000A437C">
        <w:rPr>
          <w:rFonts w:ascii="Arial" w:hAnsi="Arial" w:cs="Arial"/>
        </w:rPr>
        <w:t xml:space="preserve">, verifica-se </w:t>
      </w:r>
      <w:r w:rsidR="000C23C1" w:rsidRPr="000A437C">
        <w:rPr>
          <w:rFonts w:ascii="Arial" w:hAnsi="Arial" w:cs="Arial"/>
        </w:rPr>
        <w:t>cópias do B</w:t>
      </w:r>
      <w:r w:rsidR="00E4075B" w:rsidRPr="000A437C">
        <w:rPr>
          <w:rFonts w:ascii="Arial" w:hAnsi="Arial" w:cs="Arial"/>
        </w:rPr>
        <w:t>alanço Patrimonial</w:t>
      </w:r>
      <w:r w:rsidR="00A26965" w:rsidRPr="000A437C">
        <w:rPr>
          <w:rFonts w:ascii="Arial" w:hAnsi="Arial" w:cs="Arial"/>
        </w:rPr>
        <w:t>, confo</w:t>
      </w:r>
      <w:r w:rsidR="00FC79E9" w:rsidRPr="000A437C">
        <w:rPr>
          <w:rFonts w:ascii="Arial" w:hAnsi="Arial" w:cs="Arial"/>
        </w:rPr>
        <w:t>rme Lei Federal nº 6.404/79, referente aos</w:t>
      </w:r>
      <w:r w:rsidR="00A26965" w:rsidRPr="000A437C">
        <w:rPr>
          <w:rFonts w:ascii="Arial" w:hAnsi="Arial" w:cs="Arial"/>
        </w:rPr>
        <w:t xml:space="preserve"> exercícios findo </w:t>
      </w:r>
      <w:r w:rsidR="00E4075B" w:rsidRPr="000A437C">
        <w:rPr>
          <w:rFonts w:ascii="Arial" w:hAnsi="Arial" w:cs="Arial"/>
        </w:rPr>
        <w:t xml:space="preserve">em 31 de </w:t>
      </w:r>
      <w:r w:rsidR="00411685" w:rsidRPr="000A437C">
        <w:rPr>
          <w:rFonts w:ascii="Arial" w:hAnsi="Arial" w:cs="Arial"/>
        </w:rPr>
        <w:t>dezembro</w:t>
      </w:r>
      <w:r w:rsidR="00A73EE6" w:rsidRPr="000A437C">
        <w:rPr>
          <w:rFonts w:ascii="Arial" w:hAnsi="Arial" w:cs="Arial"/>
        </w:rPr>
        <w:t xml:space="preserve"> </w:t>
      </w:r>
      <w:r w:rsidR="00411685" w:rsidRPr="000A437C">
        <w:rPr>
          <w:rFonts w:ascii="Arial" w:hAnsi="Arial" w:cs="Arial"/>
        </w:rPr>
        <w:t>de 2017 e</w:t>
      </w:r>
      <w:r w:rsidR="00E4075B" w:rsidRPr="000A437C">
        <w:rPr>
          <w:rFonts w:ascii="Arial" w:hAnsi="Arial" w:cs="Arial"/>
        </w:rPr>
        <w:t xml:space="preserve"> 2016</w:t>
      </w:r>
      <w:r w:rsidR="00466FE5" w:rsidRPr="000A437C">
        <w:rPr>
          <w:rFonts w:ascii="Arial" w:hAnsi="Arial" w:cs="Arial"/>
        </w:rPr>
        <w:t xml:space="preserve">, contendo a assinatura </w:t>
      </w:r>
      <w:r w:rsidRPr="000A437C">
        <w:rPr>
          <w:rFonts w:ascii="Arial" w:hAnsi="Arial" w:cs="Arial"/>
        </w:rPr>
        <w:t xml:space="preserve">de Williams Vasconcelos Silva </w:t>
      </w:r>
      <w:r w:rsidR="00466FE5" w:rsidRPr="000A437C">
        <w:rPr>
          <w:rFonts w:ascii="Arial" w:hAnsi="Arial" w:cs="Arial"/>
        </w:rPr>
        <w:t>– Contador</w:t>
      </w:r>
      <w:r w:rsidR="00A73EE6" w:rsidRPr="000A437C">
        <w:rPr>
          <w:rFonts w:ascii="Arial" w:hAnsi="Arial" w:cs="Arial"/>
        </w:rPr>
        <w:t xml:space="preserve"> </w:t>
      </w:r>
      <w:r w:rsidR="00B42EE4" w:rsidRPr="000A437C">
        <w:rPr>
          <w:rFonts w:ascii="Arial" w:hAnsi="Arial" w:cs="Arial"/>
        </w:rPr>
        <w:t xml:space="preserve">da </w:t>
      </w:r>
      <w:r w:rsidR="002E01FA" w:rsidRPr="000A437C">
        <w:rPr>
          <w:rFonts w:ascii="Arial" w:hAnsi="Arial" w:cs="Arial"/>
          <w:b/>
        </w:rPr>
        <w:t>CEPAL</w:t>
      </w:r>
      <w:r w:rsidR="00A73EE6" w:rsidRPr="000A437C">
        <w:rPr>
          <w:rFonts w:ascii="Arial" w:hAnsi="Arial" w:cs="Arial"/>
        </w:rPr>
        <w:t xml:space="preserve">, porém </w:t>
      </w:r>
      <w:r w:rsidR="00CB78FC" w:rsidRPr="000A437C">
        <w:rPr>
          <w:rFonts w:ascii="Arial" w:hAnsi="Arial" w:cs="Arial"/>
        </w:rPr>
        <w:t>inexistem</w:t>
      </w:r>
      <w:r w:rsidR="00CB78FC" w:rsidRPr="000A437C">
        <w:rPr>
          <w:rFonts w:ascii="Arial" w:hAnsi="Arial" w:cs="Arial"/>
          <w:b/>
        </w:rPr>
        <w:t xml:space="preserve"> </w:t>
      </w:r>
      <w:r w:rsidR="00A73EE6" w:rsidRPr="000A437C">
        <w:rPr>
          <w:rFonts w:ascii="Arial" w:hAnsi="Arial" w:cs="Arial"/>
        </w:rPr>
        <w:t xml:space="preserve">as assinaturas </w:t>
      </w:r>
      <w:r w:rsidR="003271C1" w:rsidRPr="000A437C">
        <w:rPr>
          <w:rFonts w:ascii="Arial" w:hAnsi="Arial" w:cs="Arial"/>
        </w:rPr>
        <w:t xml:space="preserve">do Diretor Presidente e </w:t>
      </w:r>
      <w:r w:rsidR="00495B46" w:rsidRPr="000A437C">
        <w:rPr>
          <w:rFonts w:ascii="Arial" w:hAnsi="Arial" w:cs="Arial"/>
        </w:rPr>
        <w:t xml:space="preserve">dos Diretores </w:t>
      </w:r>
      <w:r w:rsidR="00A73EE6" w:rsidRPr="000A437C">
        <w:rPr>
          <w:rFonts w:ascii="Arial" w:hAnsi="Arial" w:cs="Arial"/>
        </w:rPr>
        <w:t>Adm. Financeiro, Comercial e Diretor Presidente da CEPAL</w:t>
      </w:r>
      <w:r w:rsidR="00726DD6" w:rsidRPr="000A437C">
        <w:rPr>
          <w:rFonts w:ascii="Arial" w:hAnsi="Arial" w:cs="Arial"/>
        </w:rPr>
        <w:t xml:space="preserve"> no Balanço Patrimonial</w:t>
      </w:r>
      <w:r w:rsidR="00384E0A" w:rsidRPr="000A437C">
        <w:rPr>
          <w:rFonts w:ascii="Arial" w:hAnsi="Arial" w:cs="Arial"/>
        </w:rPr>
        <w:t>.  Inexist</w:t>
      </w:r>
      <w:r w:rsidR="00101F10" w:rsidRPr="000A437C">
        <w:rPr>
          <w:rFonts w:ascii="Arial" w:hAnsi="Arial" w:cs="Arial"/>
        </w:rPr>
        <w:t>indo</w:t>
      </w:r>
      <w:r w:rsidR="00384E0A" w:rsidRPr="000A437C">
        <w:rPr>
          <w:rFonts w:ascii="Arial" w:hAnsi="Arial" w:cs="Arial"/>
          <w:b/>
        </w:rPr>
        <w:t xml:space="preserve"> </w:t>
      </w:r>
      <w:r w:rsidR="00101F10" w:rsidRPr="000A437C">
        <w:rPr>
          <w:rFonts w:ascii="Arial" w:hAnsi="Arial" w:cs="Arial"/>
        </w:rPr>
        <w:t xml:space="preserve">as respectivas </w:t>
      </w:r>
      <w:r w:rsidR="00384E0A" w:rsidRPr="000A437C">
        <w:rPr>
          <w:rFonts w:ascii="Arial" w:hAnsi="Arial" w:cs="Arial"/>
        </w:rPr>
        <w:t xml:space="preserve">assinaturas </w:t>
      </w:r>
      <w:r w:rsidR="00101F10" w:rsidRPr="000A437C">
        <w:rPr>
          <w:rFonts w:ascii="Arial" w:hAnsi="Arial" w:cs="Arial"/>
        </w:rPr>
        <w:t>supracitadas</w:t>
      </w:r>
      <w:r w:rsidR="00631212" w:rsidRPr="000A437C">
        <w:rPr>
          <w:rFonts w:ascii="Arial" w:hAnsi="Arial" w:cs="Arial"/>
        </w:rPr>
        <w:t>, também</w:t>
      </w:r>
      <w:r w:rsidR="00101F10" w:rsidRPr="000A437C">
        <w:rPr>
          <w:rFonts w:ascii="Arial" w:hAnsi="Arial" w:cs="Arial"/>
        </w:rPr>
        <w:t xml:space="preserve"> nas demonstrações do Passivo e Patrimônio Liquido</w:t>
      </w:r>
      <w:r w:rsidR="00631212" w:rsidRPr="000A437C">
        <w:rPr>
          <w:rFonts w:ascii="Arial" w:hAnsi="Arial" w:cs="Arial"/>
        </w:rPr>
        <w:t xml:space="preserve"> e ainda a do </w:t>
      </w:r>
      <w:r w:rsidR="00101F10" w:rsidRPr="000A437C">
        <w:rPr>
          <w:rFonts w:ascii="Arial" w:hAnsi="Arial" w:cs="Arial"/>
        </w:rPr>
        <w:t xml:space="preserve"> contador</w:t>
      </w:r>
      <w:r w:rsidR="00A73EE6" w:rsidRPr="000A437C">
        <w:rPr>
          <w:rFonts w:ascii="Arial" w:hAnsi="Arial" w:cs="Arial"/>
        </w:rPr>
        <w:t xml:space="preserve">; </w:t>
      </w:r>
    </w:p>
    <w:p w:rsidR="00E4075B" w:rsidRPr="000A437C" w:rsidRDefault="00E4075B" w:rsidP="000E406F">
      <w:pPr>
        <w:spacing w:after="0"/>
        <w:rPr>
          <w:rFonts w:ascii="Arial" w:hAnsi="Arial" w:cs="Arial"/>
          <w:b/>
          <w:i/>
        </w:rPr>
      </w:pPr>
      <w:r w:rsidRPr="000A437C">
        <w:rPr>
          <w:rFonts w:ascii="Arial" w:hAnsi="Arial" w:cs="Arial"/>
        </w:rPr>
        <w:t>ITEM 11 – Demonstrativo do Resultado do Exercício.</w:t>
      </w:r>
    </w:p>
    <w:p w:rsidR="00466FE5" w:rsidRPr="000A437C" w:rsidRDefault="00127544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 xml:space="preserve">Às fls. </w:t>
      </w:r>
      <w:r w:rsidR="00A73EE6" w:rsidRPr="000A437C">
        <w:rPr>
          <w:rFonts w:ascii="Arial" w:hAnsi="Arial" w:cs="Arial"/>
        </w:rPr>
        <w:t>47/48</w:t>
      </w:r>
      <w:r w:rsidRPr="000A437C">
        <w:rPr>
          <w:rFonts w:ascii="Arial" w:hAnsi="Arial" w:cs="Arial"/>
        </w:rPr>
        <w:t xml:space="preserve">, observa-se </w:t>
      </w:r>
      <w:r w:rsidR="00E4075B" w:rsidRPr="000A437C">
        <w:rPr>
          <w:rFonts w:ascii="Arial" w:hAnsi="Arial" w:cs="Arial"/>
        </w:rPr>
        <w:t>cópia d</w:t>
      </w:r>
      <w:r w:rsidR="00A746DB" w:rsidRPr="000A437C">
        <w:rPr>
          <w:rFonts w:ascii="Arial" w:hAnsi="Arial" w:cs="Arial"/>
        </w:rPr>
        <w:t>a</w:t>
      </w:r>
      <w:r w:rsidRPr="000A437C">
        <w:rPr>
          <w:rFonts w:ascii="Arial" w:hAnsi="Arial" w:cs="Arial"/>
        </w:rPr>
        <w:t xml:space="preserve"> </w:t>
      </w:r>
      <w:r w:rsidR="00A746DB" w:rsidRPr="000A437C">
        <w:rPr>
          <w:rFonts w:ascii="Arial" w:hAnsi="Arial" w:cs="Arial"/>
        </w:rPr>
        <w:t>Demonstração de Resultado</w:t>
      </w:r>
      <w:r w:rsidR="00A746DB" w:rsidRPr="000A437C">
        <w:rPr>
          <w:rFonts w:ascii="Arial" w:hAnsi="Arial" w:cs="Arial"/>
          <w:b/>
        </w:rPr>
        <w:t xml:space="preserve">, </w:t>
      </w:r>
      <w:r w:rsidR="00A746DB" w:rsidRPr="000A437C">
        <w:rPr>
          <w:rFonts w:ascii="Arial" w:hAnsi="Arial" w:cs="Arial"/>
        </w:rPr>
        <w:t>referente aos exercícios</w:t>
      </w:r>
      <w:r w:rsidR="00A746DB" w:rsidRPr="000A437C">
        <w:rPr>
          <w:rFonts w:ascii="Arial" w:hAnsi="Arial" w:cs="Arial"/>
          <w:b/>
        </w:rPr>
        <w:t xml:space="preserve"> </w:t>
      </w:r>
      <w:r w:rsidR="00E4075B" w:rsidRPr="000A437C">
        <w:rPr>
          <w:rFonts w:ascii="Arial" w:hAnsi="Arial" w:cs="Arial"/>
        </w:rPr>
        <w:t xml:space="preserve">findos em 31 de dezembro de 2017 e </w:t>
      </w:r>
      <w:r w:rsidR="00A746DB" w:rsidRPr="000A437C">
        <w:rPr>
          <w:rFonts w:ascii="Arial" w:hAnsi="Arial" w:cs="Arial"/>
        </w:rPr>
        <w:t xml:space="preserve"> </w:t>
      </w:r>
      <w:r w:rsidR="00E4075B" w:rsidRPr="000A437C">
        <w:rPr>
          <w:rFonts w:ascii="Arial" w:hAnsi="Arial" w:cs="Arial"/>
        </w:rPr>
        <w:t>2016</w:t>
      </w:r>
      <w:r w:rsidRPr="000A437C">
        <w:rPr>
          <w:rFonts w:ascii="Arial" w:hAnsi="Arial" w:cs="Arial"/>
        </w:rPr>
        <w:t xml:space="preserve">, conforme Lei Federal nº 6.404/76, </w:t>
      </w:r>
      <w:r w:rsidR="00A73EE6" w:rsidRPr="000A437C">
        <w:rPr>
          <w:rFonts w:ascii="Arial" w:hAnsi="Arial" w:cs="Arial"/>
        </w:rPr>
        <w:t>inexiste</w:t>
      </w:r>
      <w:r w:rsidR="00116EFC" w:rsidRPr="000A437C">
        <w:rPr>
          <w:rFonts w:ascii="Arial" w:hAnsi="Arial" w:cs="Arial"/>
        </w:rPr>
        <w:t>m</w:t>
      </w:r>
      <w:r w:rsidR="00A73EE6" w:rsidRPr="000A437C">
        <w:rPr>
          <w:rFonts w:ascii="Arial" w:hAnsi="Arial" w:cs="Arial"/>
        </w:rPr>
        <w:t xml:space="preserve"> a</w:t>
      </w:r>
      <w:r w:rsidR="00116EFC" w:rsidRPr="000A437C">
        <w:rPr>
          <w:rFonts w:ascii="Arial" w:hAnsi="Arial" w:cs="Arial"/>
        </w:rPr>
        <w:t>s</w:t>
      </w:r>
      <w:r w:rsidR="00CE22C5" w:rsidRPr="000A437C">
        <w:rPr>
          <w:rFonts w:ascii="Arial" w:hAnsi="Arial" w:cs="Arial"/>
        </w:rPr>
        <w:t xml:space="preserve"> </w:t>
      </w:r>
      <w:r w:rsidR="00466FE5" w:rsidRPr="000A437C">
        <w:rPr>
          <w:rFonts w:ascii="Arial" w:hAnsi="Arial" w:cs="Arial"/>
        </w:rPr>
        <w:t>assin</w:t>
      </w:r>
      <w:r w:rsidR="00A73EE6" w:rsidRPr="000A437C">
        <w:rPr>
          <w:rFonts w:ascii="Arial" w:hAnsi="Arial" w:cs="Arial"/>
        </w:rPr>
        <w:t>atura</w:t>
      </w:r>
      <w:r w:rsidR="00116EFC" w:rsidRPr="000A437C">
        <w:rPr>
          <w:rFonts w:ascii="Arial" w:hAnsi="Arial" w:cs="Arial"/>
        </w:rPr>
        <w:t>s</w:t>
      </w:r>
      <w:r w:rsidR="00A73EE6" w:rsidRPr="000A437C">
        <w:rPr>
          <w:rFonts w:ascii="Arial" w:hAnsi="Arial" w:cs="Arial"/>
        </w:rPr>
        <w:t xml:space="preserve"> do </w:t>
      </w:r>
      <w:r w:rsidR="00466FE5" w:rsidRPr="000A437C">
        <w:rPr>
          <w:rFonts w:ascii="Arial" w:hAnsi="Arial" w:cs="Arial"/>
        </w:rPr>
        <w:t xml:space="preserve"> Contador </w:t>
      </w:r>
      <w:r w:rsidR="00A73EE6" w:rsidRPr="000A437C">
        <w:rPr>
          <w:rFonts w:ascii="Arial" w:hAnsi="Arial" w:cs="Arial"/>
        </w:rPr>
        <w:t xml:space="preserve">da </w:t>
      </w:r>
      <w:r w:rsidR="002E01FA" w:rsidRPr="000A437C">
        <w:rPr>
          <w:rFonts w:ascii="Arial" w:hAnsi="Arial" w:cs="Arial"/>
        </w:rPr>
        <w:t>CEPAL</w:t>
      </w:r>
      <w:r w:rsidR="00CE22C5" w:rsidRPr="000A437C">
        <w:rPr>
          <w:rFonts w:ascii="Arial" w:hAnsi="Arial" w:cs="Arial"/>
        </w:rPr>
        <w:t xml:space="preserve">, </w:t>
      </w:r>
      <w:r w:rsidR="00A73EE6" w:rsidRPr="000A437C">
        <w:rPr>
          <w:rFonts w:ascii="Arial" w:hAnsi="Arial" w:cs="Arial"/>
        </w:rPr>
        <w:t>dos Diretores de Adm. Financeiro, Comercial</w:t>
      </w:r>
      <w:r w:rsidR="00CE22C5" w:rsidRPr="000A437C">
        <w:rPr>
          <w:rFonts w:ascii="Arial" w:hAnsi="Arial" w:cs="Arial"/>
        </w:rPr>
        <w:t xml:space="preserve"> e do Diretor Presidente da CEPAL </w:t>
      </w:r>
      <w:r w:rsidR="00A73EE6" w:rsidRPr="000A437C">
        <w:rPr>
          <w:rFonts w:ascii="Arial" w:hAnsi="Arial" w:cs="Arial"/>
        </w:rPr>
        <w:t>nos Demonstrativo do Resultado</w:t>
      </w:r>
      <w:r w:rsidR="00804A7C" w:rsidRPr="000A437C">
        <w:rPr>
          <w:rFonts w:ascii="Arial" w:hAnsi="Arial" w:cs="Arial"/>
        </w:rPr>
        <w:t>;</w:t>
      </w:r>
    </w:p>
    <w:p w:rsidR="00E4075B" w:rsidRPr="000A437C" w:rsidRDefault="00A746DB" w:rsidP="000E406F">
      <w:pPr>
        <w:spacing w:after="0"/>
        <w:jc w:val="both"/>
        <w:rPr>
          <w:rFonts w:ascii="Arial" w:hAnsi="Arial" w:cs="Arial"/>
          <w:b/>
          <w:i/>
        </w:rPr>
      </w:pPr>
      <w:r w:rsidRPr="000A437C">
        <w:rPr>
          <w:rFonts w:ascii="Arial" w:hAnsi="Arial" w:cs="Arial"/>
        </w:rPr>
        <w:t xml:space="preserve">ITEM 12 – Demonstrações das Mutações </w:t>
      </w:r>
      <w:r w:rsidR="00F926A7" w:rsidRPr="000A437C">
        <w:rPr>
          <w:rFonts w:ascii="Arial" w:hAnsi="Arial" w:cs="Arial"/>
        </w:rPr>
        <w:t xml:space="preserve">do Patrimônio Líquido, já com a  </w:t>
      </w:r>
      <w:r w:rsidRPr="000A437C">
        <w:rPr>
          <w:rFonts w:ascii="Arial" w:hAnsi="Arial" w:cs="Arial"/>
        </w:rPr>
        <w:t>Demonstração de Lucros ou Prejuízo Acumulado.</w:t>
      </w:r>
    </w:p>
    <w:p w:rsidR="00B72BF1" w:rsidRPr="000635A2" w:rsidRDefault="00B10492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  <w:b/>
          <w:i/>
        </w:rPr>
      </w:pPr>
      <w:r w:rsidRPr="000A437C">
        <w:rPr>
          <w:rFonts w:ascii="Arial" w:hAnsi="Arial" w:cs="Arial"/>
        </w:rPr>
        <w:t>Às fls. 49/50</w:t>
      </w:r>
      <w:r w:rsidR="00FC79E9" w:rsidRPr="000A437C">
        <w:rPr>
          <w:rFonts w:ascii="Arial" w:hAnsi="Arial" w:cs="Arial"/>
        </w:rPr>
        <w:t xml:space="preserve">, observa-se cópia </w:t>
      </w:r>
      <w:r w:rsidR="00094B4A" w:rsidRPr="000A437C">
        <w:rPr>
          <w:rFonts w:ascii="Arial" w:hAnsi="Arial" w:cs="Arial"/>
        </w:rPr>
        <w:t>das Demonstrações</w:t>
      </w:r>
      <w:r w:rsidR="00127544" w:rsidRPr="000A437C">
        <w:rPr>
          <w:rFonts w:ascii="Arial" w:hAnsi="Arial" w:cs="Arial"/>
        </w:rPr>
        <w:t xml:space="preserve"> das Mutações do Patrimônio Líquido, </w:t>
      </w:r>
      <w:r w:rsidR="00FC79E9" w:rsidRPr="000A437C">
        <w:rPr>
          <w:rFonts w:ascii="Arial" w:hAnsi="Arial" w:cs="Arial"/>
        </w:rPr>
        <w:t xml:space="preserve">referente aos </w:t>
      </w:r>
      <w:r w:rsidR="00127544" w:rsidRPr="000A437C">
        <w:rPr>
          <w:rFonts w:ascii="Arial" w:hAnsi="Arial" w:cs="Arial"/>
        </w:rPr>
        <w:t xml:space="preserve">exercícios </w:t>
      </w:r>
      <w:r w:rsidR="00FC79E9" w:rsidRPr="000A437C">
        <w:rPr>
          <w:rFonts w:ascii="Arial" w:hAnsi="Arial" w:cs="Arial"/>
        </w:rPr>
        <w:t>findos em 31 de dezembro de 2017 e 2016</w:t>
      </w:r>
      <w:r w:rsidR="00127544" w:rsidRPr="000A437C">
        <w:rPr>
          <w:rFonts w:ascii="Arial" w:hAnsi="Arial" w:cs="Arial"/>
        </w:rPr>
        <w:t xml:space="preserve">, </w:t>
      </w:r>
      <w:r w:rsidR="00094B4A" w:rsidRPr="000A437C">
        <w:rPr>
          <w:rFonts w:ascii="Arial" w:hAnsi="Arial" w:cs="Arial"/>
        </w:rPr>
        <w:t>inexistindo</w:t>
      </w:r>
      <w:r w:rsidR="002255D6" w:rsidRPr="000A437C">
        <w:rPr>
          <w:rFonts w:ascii="Arial" w:hAnsi="Arial" w:cs="Arial"/>
        </w:rPr>
        <w:t xml:space="preserve"> a</w:t>
      </w:r>
      <w:r w:rsidR="00116EFC" w:rsidRPr="000A437C">
        <w:rPr>
          <w:rFonts w:ascii="Arial" w:hAnsi="Arial" w:cs="Arial"/>
        </w:rPr>
        <w:t>s</w:t>
      </w:r>
      <w:r w:rsidR="002255D6" w:rsidRPr="000A437C">
        <w:rPr>
          <w:rFonts w:ascii="Arial" w:hAnsi="Arial" w:cs="Arial"/>
        </w:rPr>
        <w:t xml:space="preserve"> assinatura</w:t>
      </w:r>
      <w:r w:rsidR="00116EFC" w:rsidRPr="000A437C">
        <w:rPr>
          <w:rFonts w:ascii="Arial" w:hAnsi="Arial" w:cs="Arial"/>
        </w:rPr>
        <w:t>s</w:t>
      </w:r>
      <w:r w:rsidR="002255D6" w:rsidRPr="000A437C">
        <w:rPr>
          <w:rFonts w:ascii="Arial" w:hAnsi="Arial" w:cs="Arial"/>
        </w:rPr>
        <w:t xml:space="preserve"> do Contador</w:t>
      </w:r>
      <w:r w:rsidR="00B72BF1" w:rsidRPr="000A437C">
        <w:rPr>
          <w:rFonts w:ascii="Arial" w:hAnsi="Arial" w:cs="Arial"/>
        </w:rPr>
        <w:t xml:space="preserve">, </w:t>
      </w:r>
      <w:r w:rsidR="00116EFC" w:rsidRPr="000A437C">
        <w:rPr>
          <w:rFonts w:ascii="Arial" w:hAnsi="Arial" w:cs="Arial"/>
        </w:rPr>
        <w:t xml:space="preserve"> </w:t>
      </w:r>
      <w:r w:rsidR="002255D6" w:rsidRPr="000A437C">
        <w:rPr>
          <w:rFonts w:ascii="Arial" w:hAnsi="Arial" w:cs="Arial"/>
        </w:rPr>
        <w:t>dos Diretores de Adm</w:t>
      </w:r>
      <w:r w:rsidR="002255D6" w:rsidRPr="000635A2">
        <w:rPr>
          <w:rFonts w:ascii="Arial" w:hAnsi="Arial" w:cs="Arial"/>
        </w:rPr>
        <w:t xml:space="preserve">. Financeiro, Comercial e </w:t>
      </w:r>
      <w:r w:rsidR="00B72BF1" w:rsidRPr="000635A2">
        <w:rPr>
          <w:rFonts w:ascii="Arial" w:hAnsi="Arial" w:cs="Arial"/>
        </w:rPr>
        <w:t xml:space="preserve">do </w:t>
      </w:r>
      <w:r w:rsidR="002255D6" w:rsidRPr="000635A2">
        <w:rPr>
          <w:rFonts w:ascii="Arial" w:hAnsi="Arial" w:cs="Arial"/>
        </w:rPr>
        <w:t>Diretor Presidente da CEPAL</w:t>
      </w:r>
      <w:r w:rsidR="00094B4A" w:rsidRPr="000635A2">
        <w:rPr>
          <w:rFonts w:ascii="Arial" w:hAnsi="Arial" w:cs="Arial"/>
        </w:rPr>
        <w:t>;</w:t>
      </w:r>
    </w:p>
    <w:p w:rsidR="00804A7C" w:rsidRPr="000635A2" w:rsidRDefault="00012D08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  <w:b/>
          <w:i/>
        </w:rPr>
      </w:pPr>
      <w:r w:rsidRPr="000635A2">
        <w:rPr>
          <w:rFonts w:ascii="Arial" w:hAnsi="Arial" w:cs="Arial"/>
          <w:u w:val="single"/>
        </w:rPr>
        <w:t>Não foi acostada aos autos do processo</w:t>
      </w:r>
      <w:r w:rsidR="00F46F34" w:rsidRPr="000635A2">
        <w:rPr>
          <w:rFonts w:ascii="Arial" w:hAnsi="Arial" w:cs="Arial"/>
          <w:u w:val="single"/>
        </w:rPr>
        <w:t xml:space="preserve"> </w:t>
      </w:r>
      <w:r w:rsidR="00FC79E9" w:rsidRPr="000635A2">
        <w:rPr>
          <w:rFonts w:ascii="Arial" w:hAnsi="Arial" w:cs="Arial"/>
          <w:u w:val="single"/>
        </w:rPr>
        <w:t>a</w:t>
      </w:r>
      <w:r w:rsidR="00F46F34" w:rsidRPr="000635A2">
        <w:rPr>
          <w:rFonts w:ascii="Arial" w:hAnsi="Arial" w:cs="Arial"/>
          <w:u w:val="single"/>
        </w:rPr>
        <w:t xml:space="preserve"> </w:t>
      </w:r>
      <w:r w:rsidR="00FC79E9" w:rsidRPr="000635A2">
        <w:rPr>
          <w:rFonts w:ascii="Arial" w:hAnsi="Arial" w:cs="Arial"/>
          <w:u w:val="single"/>
        </w:rPr>
        <w:t>Demon</w:t>
      </w:r>
      <w:r w:rsidR="00F46F34" w:rsidRPr="000635A2">
        <w:rPr>
          <w:rFonts w:ascii="Arial" w:hAnsi="Arial" w:cs="Arial"/>
          <w:u w:val="single"/>
        </w:rPr>
        <w:t>stração de Lucros ou Prejuízos A</w:t>
      </w:r>
      <w:r w:rsidR="00FC79E9" w:rsidRPr="000635A2">
        <w:rPr>
          <w:rFonts w:ascii="Arial" w:hAnsi="Arial" w:cs="Arial"/>
          <w:u w:val="single"/>
        </w:rPr>
        <w:t>cumulados</w:t>
      </w:r>
      <w:r w:rsidRPr="000635A2">
        <w:rPr>
          <w:rFonts w:ascii="Arial" w:hAnsi="Arial" w:cs="Arial"/>
        </w:rPr>
        <w:t xml:space="preserve"> da CEPAL,</w:t>
      </w:r>
      <w:r w:rsidR="00F46F34" w:rsidRPr="000635A2">
        <w:rPr>
          <w:rFonts w:ascii="Arial" w:hAnsi="Arial" w:cs="Arial"/>
        </w:rPr>
        <w:t xml:space="preserve"> </w:t>
      </w:r>
      <w:r w:rsidR="00FC79E9" w:rsidRPr="000635A2">
        <w:rPr>
          <w:rFonts w:ascii="Arial" w:hAnsi="Arial" w:cs="Arial"/>
        </w:rPr>
        <w:t>conforme da Lei Federal</w:t>
      </w:r>
      <w:r w:rsidRPr="000635A2">
        <w:rPr>
          <w:rFonts w:ascii="Arial" w:hAnsi="Arial" w:cs="Arial"/>
        </w:rPr>
        <w:t xml:space="preserve"> nº 6.404/76</w:t>
      </w:r>
      <w:r w:rsidR="005E2DB0" w:rsidRPr="000635A2">
        <w:rPr>
          <w:rFonts w:ascii="Arial" w:hAnsi="Arial" w:cs="Arial"/>
        </w:rPr>
        <w:t>;</w:t>
      </w:r>
    </w:p>
    <w:p w:rsidR="00FC79E9" w:rsidRPr="000635A2" w:rsidRDefault="00FC79E9" w:rsidP="000E406F">
      <w:pPr>
        <w:spacing w:after="0"/>
        <w:rPr>
          <w:rFonts w:ascii="Arial" w:hAnsi="Arial" w:cs="Arial"/>
          <w:b/>
          <w:i/>
        </w:rPr>
      </w:pPr>
      <w:r w:rsidRPr="000635A2">
        <w:rPr>
          <w:rFonts w:ascii="Arial" w:hAnsi="Arial" w:cs="Arial"/>
        </w:rPr>
        <w:t>ITEM 13 – Demonstração de fluxo de Caixa</w:t>
      </w:r>
      <w:r w:rsidR="006B3A14" w:rsidRPr="000635A2">
        <w:rPr>
          <w:rFonts w:ascii="Arial" w:hAnsi="Arial" w:cs="Arial"/>
        </w:rPr>
        <w:t>.</w:t>
      </w:r>
    </w:p>
    <w:p w:rsidR="00A67A53" w:rsidRPr="000A437C" w:rsidRDefault="00127544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 xml:space="preserve">Às fls. </w:t>
      </w:r>
      <w:r w:rsidR="00F46F34" w:rsidRPr="000A437C">
        <w:rPr>
          <w:rFonts w:ascii="Arial" w:hAnsi="Arial" w:cs="Arial"/>
        </w:rPr>
        <w:t>51/52</w:t>
      </w:r>
      <w:r w:rsidR="006B3A14" w:rsidRPr="000A437C">
        <w:rPr>
          <w:rFonts w:ascii="Arial" w:hAnsi="Arial" w:cs="Arial"/>
        </w:rPr>
        <w:t>, verifica-se cópia</w:t>
      </w:r>
      <w:r w:rsidR="006D2FD2" w:rsidRPr="000A437C">
        <w:rPr>
          <w:rFonts w:ascii="Arial" w:hAnsi="Arial" w:cs="Arial"/>
        </w:rPr>
        <w:t xml:space="preserve"> </w:t>
      </w:r>
      <w:r w:rsidR="006B3A14" w:rsidRPr="000A437C">
        <w:rPr>
          <w:rFonts w:ascii="Arial" w:hAnsi="Arial" w:cs="Arial"/>
        </w:rPr>
        <w:t>da</w:t>
      </w:r>
      <w:r w:rsidR="00564692" w:rsidRPr="000A437C">
        <w:rPr>
          <w:rFonts w:ascii="Arial" w:hAnsi="Arial" w:cs="Arial"/>
        </w:rPr>
        <w:t>s</w:t>
      </w:r>
      <w:r w:rsidR="006D2FD2" w:rsidRPr="000A437C">
        <w:rPr>
          <w:rFonts w:ascii="Arial" w:hAnsi="Arial" w:cs="Arial"/>
        </w:rPr>
        <w:t xml:space="preserve"> </w:t>
      </w:r>
      <w:r w:rsidR="00564692" w:rsidRPr="000A437C">
        <w:rPr>
          <w:rFonts w:ascii="Arial" w:hAnsi="Arial" w:cs="Arial"/>
        </w:rPr>
        <w:t>Demonstrações</w:t>
      </w:r>
      <w:r w:rsidR="006B3A14" w:rsidRPr="000A437C">
        <w:rPr>
          <w:rFonts w:ascii="Arial" w:hAnsi="Arial" w:cs="Arial"/>
        </w:rPr>
        <w:t xml:space="preserve"> </w:t>
      </w:r>
      <w:r w:rsidRPr="000A437C">
        <w:rPr>
          <w:rFonts w:ascii="Arial" w:hAnsi="Arial" w:cs="Arial"/>
        </w:rPr>
        <w:t xml:space="preserve">dos Fluxos de Caixa, </w:t>
      </w:r>
      <w:r w:rsidR="00564692" w:rsidRPr="000A437C">
        <w:rPr>
          <w:rFonts w:ascii="Arial" w:hAnsi="Arial" w:cs="Arial"/>
        </w:rPr>
        <w:t>do exercício findo em 31 de dezembro de 2017/2016, emitida</w:t>
      </w:r>
      <w:r w:rsidRPr="000A437C">
        <w:rPr>
          <w:rFonts w:ascii="Arial" w:hAnsi="Arial" w:cs="Arial"/>
        </w:rPr>
        <w:t xml:space="preserve"> conforme da Lei Federal nº 6.404/76, </w:t>
      </w:r>
      <w:r w:rsidR="006D2FD2" w:rsidRPr="000A437C">
        <w:rPr>
          <w:rFonts w:ascii="Arial" w:hAnsi="Arial" w:cs="Arial"/>
        </w:rPr>
        <w:t>inexiste</w:t>
      </w:r>
      <w:r w:rsidR="00116EFC" w:rsidRPr="000A437C">
        <w:rPr>
          <w:rFonts w:ascii="Arial" w:hAnsi="Arial" w:cs="Arial"/>
        </w:rPr>
        <w:t>m</w:t>
      </w:r>
      <w:r w:rsidR="006D2FD2" w:rsidRPr="000A437C">
        <w:rPr>
          <w:rFonts w:ascii="Arial" w:hAnsi="Arial" w:cs="Arial"/>
        </w:rPr>
        <w:t xml:space="preserve"> a</w:t>
      </w:r>
      <w:r w:rsidR="00116EFC" w:rsidRPr="000A437C">
        <w:rPr>
          <w:rFonts w:ascii="Arial" w:hAnsi="Arial" w:cs="Arial"/>
        </w:rPr>
        <w:t>s</w:t>
      </w:r>
      <w:r w:rsidR="006D2FD2" w:rsidRPr="000A437C">
        <w:rPr>
          <w:rFonts w:ascii="Arial" w:hAnsi="Arial" w:cs="Arial"/>
        </w:rPr>
        <w:t xml:space="preserve"> assinatura</w:t>
      </w:r>
      <w:r w:rsidR="00116EFC" w:rsidRPr="000A437C">
        <w:rPr>
          <w:rFonts w:ascii="Arial" w:hAnsi="Arial" w:cs="Arial"/>
        </w:rPr>
        <w:t>s</w:t>
      </w:r>
      <w:r w:rsidR="006D2FD2" w:rsidRPr="000A437C">
        <w:rPr>
          <w:rFonts w:ascii="Arial" w:hAnsi="Arial" w:cs="Arial"/>
        </w:rPr>
        <w:t xml:space="preserve"> do Contador, dos Diretores de Adm. Financeiro, Comercial e </w:t>
      </w:r>
      <w:r w:rsidR="00B72BF1" w:rsidRPr="000A437C">
        <w:rPr>
          <w:rFonts w:ascii="Arial" w:hAnsi="Arial" w:cs="Arial"/>
        </w:rPr>
        <w:t xml:space="preserve">do </w:t>
      </w:r>
      <w:r w:rsidR="006D2FD2" w:rsidRPr="000A437C">
        <w:rPr>
          <w:rFonts w:ascii="Arial" w:hAnsi="Arial" w:cs="Arial"/>
        </w:rPr>
        <w:t xml:space="preserve">Diretor Presidente da CEPAL; </w:t>
      </w:r>
    </w:p>
    <w:p w:rsidR="00C81343" w:rsidRDefault="00C81343" w:rsidP="000E406F">
      <w:pPr>
        <w:pStyle w:val="PargrafodaLista"/>
        <w:spacing w:after="0"/>
        <w:ind w:left="1211"/>
        <w:rPr>
          <w:rFonts w:ascii="Arial" w:hAnsi="Arial" w:cs="Arial"/>
        </w:rPr>
      </w:pPr>
    </w:p>
    <w:p w:rsidR="004E49DD" w:rsidRDefault="004E49DD" w:rsidP="000E406F">
      <w:pPr>
        <w:pStyle w:val="PargrafodaLista"/>
        <w:spacing w:after="0"/>
        <w:ind w:left="1211"/>
        <w:rPr>
          <w:rFonts w:ascii="Arial" w:hAnsi="Arial" w:cs="Arial"/>
        </w:rPr>
      </w:pPr>
    </w:p>
    <w:p w:rsidR="004E49DD" w:rsidRDefault="004E49DD" w:rsidP="000E406F">
      <w:pPr>
        <w:pStyle w:val="PargrafodaLista"/>
        <w:spacing w:after="0"/>
        <w:ind w:left="1211"/>
        <w:rPr>
          <w:rFonts w:ascii="Arial" w:hAnsi="Arial" w:cs="Arial"/>
        </w:rPr>
      </w:pPr>
    </w:p>
    <w:p w:rsidR="004E49DD" w:rsidRPr="000A437C" w:rsidRDefault="004E49DD" w:rsidP="000E406F">
      <w:pPr>
        <w:pStyle w:val="PargrafodaLista"/>
        <w:spacing w:after="0"/>
        <w:ind w:left="1211"/>
        <w:rPr>
          <w:rFonts w:ascii="Arial" w:hAnsi="Arial" w:cs="Arial"/>
        </w:rPr>
      </w:pPr>
    </w:p>
    <w:p w:rsidR="006B3A14" w:rsidRPr="000A437C" w:rsidRDefault="006B3A14" w:rsidP="000E406F">
      <w:pPr>
        <w:spacing w:after="0"/>
        <w:rPr>
          <w:rFonts w:ascii="Arial" w:hAnsi="Arial" w:cs="Arial"/>
          <w:b/>
          <w:i/>
        </w:rPr>
      </w:pPr>
      <w:r w:rsidRPr="000A437C">
        <w:rPr>
          <w:rFonts w:ascii="Arial" w:hAnsi="Arial" w:cs="Arial"/>
        </w:rPr>
        <w:lastRenderedPageBreak/>
        <w:t>ITEM 14 – Demonstrativos das Recitas.</w:t>
      </w:r>
    </w:p>
    <w:p w:rsidR="006B3A14" w:rsidRPr="000A437C" w:rsidRDefault="00141281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  <w:b/>
          <w:i/>
        </w:rPr>
      </w:pPr>
      <w:r w:rsidRPr="000A437C">
        <w:rPr>
          <w:rFonts w:ascii="Arial" w:hAnsi="Arial" w:cs="Arial"/>
        </w:rPr>
        <w:t>Às fls.53/54</w:t>
      </w:r>
      <w:r w:rsidR="0080461C" w:rsidRPr="000A437C">
        <w:rPr>
          <w:rFonts w:ascii="Arial" w:hAnsi="Arial" w:cs="Arial"/>
        </w:rPr>
        <w:t>, observa-se</w:t>
      </w:r>
      <w:r w:rsidR="001C5570" w:rsidRPr="000A437C">
        <w:rPr>
          <w:rFonts w:ascii="Arial" w:hAnsi="Arial" w:cs="Arial"/>
        </w:rPr>
        <w:t xml:space="preserve"> </w:t>
      </w:r>
      <w:r w:rsidR="003C42EE" w:rsidRPr="000A437C">
        <w:rPr>
          <w:rFonts w:ascii="Arial" w:hAnsi="Arial" w:cs="Arial"/>
        </w:rPr>
        <w:t>Demonstrativo</w:t>
      </w:r>
      <w:r w:rsidR="006B3A14" w:rsidRPr="000A437C">
        <w:rPr>
          <w:rFonts w:ascii="Arial" w:hAnsi="Arial" w:cs="Arial"/>
        </w:rPr>
        <w:t xml:space="preserve">s </w:t>
      </w:r>
      <w:r w:rsidR="002F7613" w:rsidRPr="000A437C">
        <w:rPr>
          <w:rFonts w:ascii="Arial" w:hAnsi="Arial" w:cs="Arial"/>
        </w:rPr>
        <w:t xml:space="preserve"> </w:t>
      </w:r>
      <w:r w:rsidR="006B3A14" w:rsidRPr="000A437C">
        <w:rPr>
          <w:rFonts w:ascii="Arial" w:hAnsi="Arial" w:cs="Arial"/>
        </w:rPr>
        <w:t>das</w:t>
      </w:r>
      <w:r w:rsidR="003C42EE" w:rsidRPr="000A437C">
        <w:rPr>
          <w:rFonts w:ascii="Arial" w:hAnsi="Arial" w:cs="Arial"/>
        </w:rPr>
        <w:t xml:space="preserve"> Receitas</w:t>
      </w:r>
      <w:r w:rsidR="0080461C" w:rsidRPr="000A437C">
        <w:rPr>
          <w:rFonts w:ascii="Arial" w:hAnsi="Arial" w:cs="Arial"/>
        </w:rPr>
        <w:t xml:space="preserve">, </w:t>
      </w:r>
      <w:r w:rsidR="003B1B59" w:rsidRPr="000A437C">
        <w:rPr>
          <w:rFonts w:ascii="Arial" w:hAnsi="Arial" w:cs="Arial"/>
        </w:rPr>
        <w:t>auferidas no período de</w:t>
      </w:r>
      <w:r w:rsidR="001C5570" w:rsidRPr="000A437C">
        <w:rPr>
          <w:rFonts w:ascii="Arial" w:hAnsi="Arial" w:cs="Arial"/>
        </w:rPr>
        <w:t xml:space="preserve"> janeiro a dezembro/2017, </w:t>
      </w:r>
      <w:r w:rsidR="00A67A53" w:rsidRPr="000A437C">
        <w:rPr>
          <w:rFonts w:ascii="Arial" w:hAnsi="Arial" w:cs="Arial"/>
        </w:rPr>
        <w:t>contendo a assinatura de Williams Vasconcelos Silva – Contador da CEPAL</w:t>
      </w:r>
      <w:r w:rsidR="00466FE5" w:rsidRPr="000A437C">
        <w:rPr>
          <w:rFonts w:ascii="Arial" w:hAnsi="Arial" w:cs="Arial"/>
        </w:rPr>
        <w:t xml:space="preserve">; </w:t>
      </w:r>
    </w:p>
    <w:p w:rsidR="006B3A14" w:rsidRPr="000A437C" w:rsidRDefault="006B3A14" w:rsidP="000E406F">
      <w:p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>ITEM 15 – Demonstrativos das Despesas</w:t>
      </w:r>
      <w:r w:rsidR="00411685" w:rsidRPr="000A437C">
        <w:rPr>
          <w:rFonts w:ascii="Arial" w:hAnsi="Arial" w:cs="Arial"/>
        </w:rPr>
        <w:t>.</w:t>
      </w:r>
    </w:p>
    <w:p w:rsidR="00116EFC" w:rsidRPr="00C81343" w:rsidRDefault="0080461C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C81343">
        <w:rPr>
          <w:rFonts w:ascii="Arial" w:hAnsi="Arial" w:cs="Arial"/>
        </w:rPr>
        <w:t>Às fls.</w:t>
      </w:r>
      <w:r w:rsidR="00A67A53" w:rsidRPr="00C81343">
        <w:rPr>
          <w:rFonts w:ascii="Arial" w:hAnsi="Arial" w:cs="Arial"/>
        </w:rPr>
        <w:t>55/64</w:t>
      </w:r>
      <w:r w:rsidRPr="00C81343">
        <w:rPr>
          <w:rFonts w:ascii="Arial" w:hAnsi="Arial" w:cs="Arial"/>
        </w:rPr>
        <w:t>,</w:t>
      </w:r>
      <w:r w:rsidR="00411685" w:rsidRPr="00C81343">
        <w:rPr>
          <w:rFonts w:ascii="Arial" w:hAnsi="Arial" w:cs="Arial"/>
        </w:rPr>
        <w:t xml:space="preserve"> </w:t>
      </w:r>
      <w:r w:rsidR="003C42EE" w:rsidRPr="00C81343">
        <w:rPr>
          <w:rFonts w:ascii="Arial" w:hAnsi="Arial" w:cs="Arial"/>
        </w:rPr>
        <w:t>apresenta Demonstrativo de Despesas</w:t>
      </w:r>
      <w:r w:rsidR="003B1B59" w:rsidRPr="00C81343">
        <w:rPr>
          <w:rFonts w:ascii="Arial" w:hAnsi="Arial" w:cs="Arial"/>
        </w:rPr>
        <w:t>, realizadas  no período de janeiro a dezembro/2017,</w:t>
      </w:r>
      <w:r w:rsidR="00804A7C" w:rsidRPr="00C81343">
        <w:rPr>
          <w:rFonts w:ascii="Arial" w:hAnsi="Arial" w:cs="Arial"/>
        </w:rPr>
        <w:t xml:space="preserve"> </w:t>
      </w:r>
      <w:r w:rsidR="00A67A53" w:rsidRPr="00C81343">
        <w:rPr>
          <w:rFonts w:ascii="Arial" w:hAnsi="Arial" w:cs="Arial"/>
        </w:rPr>
        <w:t>contendo a assinatura de Williams Vasconcelos Silva – Contador da CEPAL</w:t>
      </w:r>
      <w:r w:rsidR="005E2DB0" w:rsidRPr="00C81343">
        <w:rPr>
          <w:rFonts w:ascii="Arial" w:hAnsi="Arial" w:cs="Arial"/>
        </w:rPr>
        <w:t>;</w:t>
      </w:r>
    </w:p>
    <w:p w:rsidR="006B3A14" w:rsidRPr="000A437C" w:rsidRDefault="00411685" w:rsidP="000E406F">
      <w:pPr>
        <w:spacing w:after="0"/>
        <w:jc w:val="both"/>
        <w:rPr>
          <w:rFonts w:ascii="Arial" w:hAnsi="Arial" w:cs="Arial"/>
        </w:rPr>
      </w:pPr>
      <w:r w:rsidRPr="000A437C">
        <w:rPr>
          <w:rFonts w:ascii="Arial" w:hAnsi="Arial" w:cs="Arial"/>
        </w:rPr>
        <w:t>ITEM 16 – Notas Explicativas quando houver no exercício, Devedores Diversos, Cancelamento de Restos a Pagar, entre outras situações merecedoras de esclarecimentos. NBC – Aplicadas ao Setor Público – NBCT 16.</w:t>
      </w:r>
    </w:p>
    <w:p w:rsidR="00141281" w:rsidRPr="000A437C" w:rsidRDefault="0080461C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  <w:i/>
        </w:rPr>
      </w:pPr>
      <w:r w:rsidRPr="000A437C">
        <w:rPr>
          <w:rFonts w:ascii="Arial" w:hAnsi="Arial" w:cs="Arial"/>
        </w:rPr>
        <w:t>Às fls.</w:t>
      </w:r>
      <w:r w:rsidR="00141281" w:rsidRPr="000A437C">
        <w:rPr>
          <w:rFonts w:ascii="Arial" w:hAnsi="Arial" w:cs="Arial"/>
        </w:rPr>
        <w:t>65/66</w:t>
      </w:r>
      <w:r w:rsidRPr="000A437C">
        <w:rPr>
          <w:rFonts w:ascii="Arial" w:hAnsi="Arial" w:cs="Arial"/>
        </w:rPr>
        <w:t xml:space="preserve">, observou-se </w:t>
      </w:r>
      <w:r w:rsidR="00411685" w:rsidRPr="000A437C">
        <w:rPr>
          <w:rFonts w:ascii="Arial" w:hAnsi="Arial" w:cs="Arial"/>
        </w:rPr>
        <w:t xml:space="preserve">cópia de </w:t>
      </w:r>
      <w:r w:rsidR="00141281" w:rsidRPr="000A437C">
        <w:rPr>
          <w:rFonts w:ascii="Arial" w:hAnsi="Arial" w:cs="Arial"/>
        </w:rPr>
        <w:t>Certidão, datada de 27/04/2018, lavra de Jarbas Pereira Ricardo</w:t>
      </w:r>
      <w:r w:rsidR="008A7FF8" w:rsidRPr="000A437C">
        <w:rPr>
          <w:rFonts w:ascii="Arial" w:hAnsi="Arial" w:cs="Arial"/>
        </w:rPr>
        <w:t xml:space="preserve"> </w:t>
      </w:r>
      <w:r w:rsidR="00141281" w:rsidRPr="000A437C">
        <w:rPr>
          <w:rFonts w:ascii="Arial" w:hAnsi="Arial" w:cs="Arial"/>
        </w:rPr>
        <w:t xml:space="preserve">- Diretor Administrativo Financeiro, informando que:   “ </w:t>
      </w:r>
      <w:r w:rsidR="00141281" w:rsidRPr="000A437C">
        <w:rPr>
          <w:rFonts w:ascii="Arial" w:hAnsi="Arial" w:cs="Arial"/>
          <w:i/>
          <w:u w:val="single"/>
        </w:rPr>
        <w:t xml:space="preserve">não há </w:t>
      </w:r>
      <w:r w:rsidR="003C42EE" w:rsidRPr="000A437C">
        <w:rPr>
          <w:rFonts w:ascii="Arial" w:hAnsi="Arial" w:cs="Arial"/>
          <w:i/>
          <w:u w:val="single"/>
        </w:rPr>
        <w:t>Explicativas</w:t>
      </w:r>
      <w:r w:rsidR="00141281" w:rsidRPr="000A437C">
        <w:rPr>
          <w:rFonts w:ascii="Arial" w:hAnsi="Arial" w:cs="Arial"/>
          <w:i/>
          <w:u w:val="single"/>
        </w:rPr>
        <w:t xml:space="preserve"> do exercício com Devedores Diversos, Cancelamento de Restos a Pagar, entre outras situações merecedoras de esclarecimentos. NBC – Aplicadas ao Setor Público – NBCT 16 e alterações”;</w:t>
      </w:r>
      <w:r w:rsidR="00141281" w:rsidRPr="000A437C">
        <w:rPr>
          <w:rFonts w:ascii="Arial" w:hAnsi="Arial" w:cs="Arial"/>
        </w:rPr>
        <w:t xml:space="preserve"> </w:t>
      </w:r>
    </w:p>
    <w:p w:rsidR="00116EFC" w:rsidRPr="000A437C" w:rsidRDefault="00116EFC" w:rsidP="000E406F">
      <w:pPr>
        <w:pStyle w:val="PargrafodaLista"/>
        <w:spacing w:after="0"/>
        <w:ind w:left="1211"/>
        <w:rPr>
          <w:rFonts w:ascii="Arial" w:hAnsi="Arial" w:cs="Arial"/>
          <w:b/>
          <w:i/>
        </w:rPr>
      </w:pPr>
    </w:p>
    <w:p w:rsidR="00411685" w:rsidRPr="000A437C" w:rsidRDefault="0082266C" w:rsidP="000E406F">
      <w:p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>ITEM 17 – Inventário Físico dos Bens Móveis e Imóveis.</w:t>
      </w:r>
    </w:p>
    <w:p w:rsidR="00116EFC" w:rsidRPr="00C81343" w:rsidRDefault="00E976AF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  <w:b/>
          <w:i/>
          <w:u w:val="single"/>
        </w:rPr>
      </w:pPr>
      <w:r w:rsidRPr="00C81343">
        <w:rPr>
          <w:rFonts w:ascii="Arial" w:hAnsi="Arial" w:cs="Arial"/>
        </w:rPr>
        <w:t>Às fls. 67/132</w:t>
      </w:r>
      <w:r w:rsidR="00CC7E59" w:rsidRPr="00C81343">
        <w:rPr>
          <w:rFonts w:ascii="Arial" w:hAnsi="Arial" w:cs="Arial"/>
        </w:rPr>
        <w:t xml:space="preserve">, verifica-se </w:t>
      </w:r>
      <w:r w:rsidRPr="00C81343">
        <w:rPr>
          <w:rFonts w:ascii="Arial" w:hAnsi="Arial" w:cs="Arial"/>
        </w:rPr>
        <w:t>Inventário Patrimonial dos Bens Móveis</w:t>
      </w:r>
      <w:r w:rsidR="00CC7E59" w:rsidRPr="00C81343">
        <w:rPr>
          <w:rFonts w:ascii="Arial" w:hAnsi="Arial" w:cs="Arial"/>
        </w:rPr>
        <w:t>,</w:t>
      </w:r>
      <w:r w:rsidRPr="00C81343">
        <w:rPr>
          <w:rFonts w:ascii="Arial" w:hAnsi="Arial" w:cs="Arial"/>
        </w:rPr>
        <w:t xml:space="preserve"> da CEPAL, inexiste a assinatura do responsável pelo Patrimônio da CEPAL;</w:t>
      </w:r>
    </w:p>
    <w:p w:rsidR="00560ED3" w:rsidRPr="000A437C" w:rsidRDefault="00560ED3" w:rsidP="000E406F">
      <w:p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>ITEM 18 – Inventário de Bens existentes no Almoxarifado:</w:t>
      </w:r>
    </w:p>
    <w:p w:rsidR="00116EFC" w:rsidRPr="00C81343" w:rsidRDefault="00C13FD6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C81343">
        <w:rPr>
          <w:rFonts w:ascii="Arial" w:hAnsi="Arial" w:cs="Arial"/>
        </w:rPr>
        <w:t>Às f</w:t>
      </w:r>
      <w:r w:rsidR="009A336F" w:rsidRPr="00C81343">
        <w:rPr>
          <w:rFonts w:ascii="Arial" w:hAnsi="Arial" w:cs="Arial"/>
        </w:rPr>
        <w:t>ls.133/1</w:t>
      </w:r>
      <w:r w:rsidR="00853096" w:rsidRPr="00C81343">
        <w:rPr>
          <w:rFonts w:ascii="Arial" w:hAnsi="Arial" w:cs="Arial"/>
        </w:rPr>
        <w:t xml:space="preserve">41, observa-se Inventário Físico e Financeiro </w:t>
      </w:r>
      <w:r w:rsidR="0012605D" w:rsidRPr="00C81343">
        <w:rPr>
          <w:rFonts w:ascii="Arial" w:hAnsi="Arial" w:cs="Arial"/>
        </w:rPr>
        <w:t>do</w:t>
      </w:r>
      <w:r w:rsidR="00853096" w:rsidRPr="00C81343">
        <w:rPr>
          <w:rFonts w:ascii="Arial" w:hAnsi="Arial" w:cs="Arial"/>
        </w:rPr>
        <w:t xml:space="preserve"> Almoxarifado do Estoque</w:t>
      </w:r>
      <w:r w:rsidR="00241630" w:rsidRPr="00C81343">
        <w:rPr>
          <w:rFonts w:ascii="Arial" w:hAnsi="Arial" w:cs="Arial"/>
        </w:rPr>
        <w:t>, finalizado em 31/12/2017,</w:t>
      </w:r>
      <w:r w:rsidR="0012605D" w:rsidRPr="00C81343">
        <w:rPr>
          <w:rFonts w:ascii="Arial" w:hAnsi="Arial" w:cs="Arial"/>
        </w:rPr>
        <w:t xml:space="preserve"> </w:t>
      </w:r>
      <w:r w:rsidR="00853096" w:rsidRPr="00C81343">
        <w:rPr>
          <w:rFonts w:ascii="Arial" w:hAnsi="Arial" w:cs="Arial"/>
        </w:rPr>
        <w:t xml:space="preserve">com saldo no valor de R$ 939.667,65, não </w:t>
      </w:r>
      <w:r w:rsidR="00E846EB" w:rsidRPr="00C81343">
        <w:rPr>
          <w:rFonts w:ascii="Arial" w:hAnsi="Arial" w:cs="Arial"/>
        </w:rPr>
        <w:t>con</w:t>
      </w:r>
      <w:r w:rsidR="00853096" w:rsidRPr="00C81343">
        <w:rPr>
          <w:rFonts w:ascii="Arial" w:hAnsi="Arial" w:cs="Arial"/>
        </w:rPr>
        <w:t>tendo no Inventario Físico a assinatura de Sidney Bueno dos Santos -</w:t>
      </w:r>
      <w:r w:rsidR="00241630" w:rsidRPr="00C81343">
        <w:rPr>
          <w:rFonts w:ascii="Arial" w:hAnsi="Arial" w:cs="Arial"/>
        </w:rPr>
        <w:t xml:space="preserve"> </w:t>
      </w:r>
      <w:r w:rsidR="00853096" w:rsidRPr="00C81343">
        <w:rPr>
          <w:rFonts w:ascii="Arial" w:hAnsi="Arial" w:cs="Arial"/>
        </w:rPr>
        <w:t>Chefe</w:t>
      </w:r>
      <w:r w:rsidR="002E3259" w:rsidRPr="00C81343">
        <w:rPr>
          <w:rFonts w:ascii="Arial" w:hAnsi="Arial" w:cs="Arial"/>
        </w:rPr>
        <w:t xml:space="preserve"> </w:t>
      </w:r>
      <w:r w:rsidR="00853096" w:rsidRPr="00C81343">
        <w:rPr>
          <w:rFonts w:ascii="Arial" w:hAnsi="Arial" w:cs="Arial"/>
        </w:rPr>
        <w:t>Almoxarifado</w:t>
      </w:r>
      <w:r w:rsidR="00B57D49" w:rsidRPr="00C81343">
        <w:rPr>
          <w:rFonts w:ascii="Arial" w:hAnsi="Arial" w:cs="Arial"/>
        </w:rPr>
        <w:t xml:space="preserve"> </w:t>
      </w:r>
      <w:r w:rsidR="00853096" w:rsidRPr="00C81343">
        <w:rPr>
          <w:rFonts w:ascii="Arial" w:hAnsi="Arial" w:cs="Arial"/>
        </w:rPr>
        <w:t xml:space="preserve">- Departamento de Suprimentos </w:t>
      </w:r>
      <w:r w:rsidR="001F4B12" w:rsidRPr="00C81343">
        <w:rPr>
          <w:rFonts w:ascii="Arial" w:hAnsi="Arial" w:cs="Arial"/>
        </w:rPr>
        <w:t>–</w:t>
      </w:r>
      <w:r w:rsidR="00853096" w:rsidRPr="00C81343">
        <w:rPr>
          <w:rFonts w:ascii="Arial" w:hAnsi="Arial" w:cs="Arial"/>
        </w:rPr>
        <w:t xml:space="preserve"> CEPAL</w:t>
      </w:r>
      <w:r w:rsidR="00241630" w:rsidRPr="00C81343">
        <w:rPr>
          <w:rFonts w:ascii="Arial" w:hAnsi="Arial" w:cs="Arial"/>
        </w:rPr>
        <w:t xml:space="preserve">. E à fl. 141 consta cópia da Portaria nº 25/2018, datada de 05/05/2018, </w:t>
      </w:r>
      <w:r w:rsidR="00D52A3D" w:rsidRPr="00C81343">
        <w:rPr>
          <w:rFonts w:ascii="Arial" w:hAnsi="Arial" w:cs="Arial"/>
        </w:rPr>
        <w:t>emanada pelo</w:t>
      </w:r>
      <w:r w:rsidR="00241630" w:rsidRPr="00C81343">
        <w:rPr>
          <w:rFonts w:ascii="Arial" w:hAnsi="Arial" w:cs="Arial"/>
        </w:rPr>
        <w:t xml:space="preserve"> Diretor Presidente, referente </w:t>
      </w:r>
      <w:r w:rsidR="002E3259" w:rsidRPr="00C81343">
        <w:rPr>
          <w:rFonts w:ascii="Arial" w:hAnsi="Arial" w:cs="Arial"/>
        </w:rPr>
        <w:t>à constituição de C</w:t>
      </w:r>
      <w:r w:rsidR="00241630" w:rsidRPr="00C81343">
        <w:rPr>
          <w:rFonts w:ascii="Arial" w:hAnsi="Arial" w:cs="Arial"/>
        </w:rPr>
        <w:t xml:space="preserve">omissão para proceder o </w:t>
      </w:r>
      <w:r w:rsidR="002E3259" w:rsidRPr="00C81343">
        <w:rPr>
          <w:rFonts w:ascii="Arial" w:hAnsi="Arial" w:cs="Arial"/>
        </w:rPr>
        <w:t>Inventário</w:t>
      </w:r>
      <w:r w:rsidR="00241630" w:rsidRPr="00C81343">
        <w:rPr>
          <w:rFonts w:ascii="Arial" w:hAnsi="Arial" w:cs="Arial"/>
        </w:rPr>
        <w:t xml:space="preserve"> de </w:t>
      </w:r>
      <w:r w:rsidR="002E3259" w:rsidRPr="00C81343">
        <w:rPr>
          <w:rFonts w:ascii="Arial" w:hAnsi="Arial" w:cs="Arial"/>
        </w:rPr>
        <w:t>material</w:t>
      </w:r>
      <w:r w:rsidR="00241630" w:rsidRPr="00C81343">
        <w:rPr>
          <w:rFonts w:ascii="Arial" w:hAnsi="Arial" w:cs="Arial"/>
        </w:rPr>
        <w:t xml:space="preserve"> primário</w:t>
      </w:r>
      <w:r w:rsidR="002E3259" w:rsidRPr="00C81343">
        <w:rPr>
          <w:rFonts w:ascii="Arial" w:hAnsi="Arial" w:cs="Arial"/>
        </w:rPr>
        <w:t xml:space="preserve">, </w:t>
      </w:r>
      <w:r w:rsidR="00241630" w:rsidRPr="00C81343">
        <w:rPr>
          <w:rFonts w:ascii="Arial" w:hAnsi="Arial" w:cs="Arial"/>
        </w:rPr>
        <w:t>exercício de 2017</w:t>
      </w:r>
      <w:r w:rsidR="002E3259" w:rsidRPr="00C81343">
        <w:rPr>
          <w:rFonts w:ascii="Arial" w:hAnsi="Arial" w:cs="Arial"/>
        </w:rPr>
        <w:t xml:space="preserve">; </w:t>
      </w:r>
    </w:p>
    <w:p w:rsidR="00560ED3" w:rsidRPr="000A437C" w:rsidRDefault="00AD5E9C" w:rsidP="000E406F">
      <w:p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>ITEM 19 – Relação dos Processos Licitatórios ocorridos no exercício.</w:t>
      </w:r>
    </w:p>
    <w:p w:rsidR="005E2DB0" w:rsidRPr="00C81343" w:rsidRDefault="00305B85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C81343">
        <w:rPr>
          <w:rFonts w:ascii="Arial" w:hAnsi="Arial" w:cs="Arial"/>
        </w:rPr>
        <w:t>À</w:t>
      </w:r>
      <w:r w:rsidR="00AB27DC" w:rsidRPr="00C81343">
        <w:rPr>
          <w:rFonts w:ascii="Arial" w:hAnsi="Arial" w:cs="Arial"/>
        </w:rPr>
        <w:t>s</w:t>
      </w:r>
      <w:r w:rsidRPr="00C81343">
        <w:rPr>
          <w:rFonts w:ascii="Arial" w:hAnsi="Arial" w:cs="Arial"/>
        </w:rPr>
        <w:t xml:space="preserve"> fl</w:t>
      </w:r>
      <w:r w:rsidR="00AB27DC" w:rsidRPr="00C81343">
        <w:rPr>
          <w:rFonts w:ascii="Arial" w:hAnsi="Arial" w:cs="Arial"/>
        </w:rPr>
        <w:t xml:space="preserve">s. 142/143, </w:t>
      </w:r>
      <w:r w:rsidR="003C42EE" w:rsidRPr="00C81343">
        <w:rPr>
          <w:rFonts w:ascii="Arial" w:hAnsi="Arial" w:cs="Arial"/>
        </w:rPr>
        <w:t xml:space="preserve">encontra-se </w:t>
      </w:r>
      <w:r w:rsidR="00AB27DC" w:rsidRPr="00C81343">
        <w:rPr>
          <w:rFonts w:ascii="Arial" w:hAnsi="Arial" w:cs="Arial"/>
        </w:rPr>
        <w:t>Certidão</w:t>
      </w:r>
      <w:r w:rsidR="00AD5E9C" w:rsidRPr="00C81343">
        <w:rPr>
          <w:rFonts w:ascii="Arial" w:hAnsi="Arial" w:cs="Arial"/>
        </w:rPr>
        <w:t xml:space="preserve">, </w:t>
      </w:r>
      <w:r w:rsidR="00AB27DC" w:rsidRPr="00C81343">
        <w:rPr>
          <w:rFonts w:ascii="Arial" w:hAnsi="Arial" w:cs="Arial"/>
        </w:rPr>
        <w:t>d</w:t>
      </w:r>
      <w:r w:rsidR="00A53854" w:rsidRPr="00C81343">
        <w:rPr>
          <w:rFonts w:ascii="Arial" w:hAnsi="Arial" w:cs="Arial"/>
        </w:rPr>
        <w:t>atada de 27/04/2018, da lavra de</w:t>
      </w:r>
      <w:r w:rsidR="00AB27DC" w:rsidRPr="00C81343">
        <w:rPr>
          <w:rFonts w:ascii="Arial" w:hAnsi="Arial" w:cs="Arial"/>
        </w:rPr>
        <w:t xml:space="preserve"> Jarbas Pereira Ricardo – Diretor Administrativo Financeiro, certificando que: </w:t>
      </w:r>
      <w:r w:rsidR="00A53854" w:rsidRPr="00C81343">
        <w:rPr>
          <w:rFonts w:ascii="Arial" w:hAnsi="Arial" w:cs="Arial"/>
        </w:rPr>
        <w:t>“</w:t>
      </w:r>
      <w:r w:rsidR="00AB27DC" w:rsidRPr="00C81343">
        <w:rPr>
          <w:rFonts w:ascii="Arial" w:hAnsi="Arial" w:cs="Arial"/>
          <w:i/>
          <w:u w:val="single"/>
        </w:rPr>
        <w:t>no exercício  do ano e 2017 não houve conclusão de processos licitatórios</w:t>
      </w:r>
      <w:r w:rsidR="00C81343" w:rsidRPr="00C81343">
        <w:rPr>
          <w:rFonts w:ascii="Arial" w:hAnsi="Arial" w:cs="Arial"/>
        </w:rPr>
        <w:t>” ;</w:t>
      </w:r>
    </w:p>
    <w:p w:rsidR="00AD5E9C" w:rsidRPr="000A437C" w:rsidRDefault="00305B85" w:rsidP="000E406F">
      <w:pPr>
        <w:spacing w:after="0"/>
        <w:rPr>
          <w:rFonts w:ascii="Arial" w:hAnsi="Arial" w:cs="Arial"/>
        </w:rPr>
      </w:pPr>
      <w:r w:rsidRPr="000A437C">
        <w:rPr>
          <w:rFonts w:ascii="Arial" w:hAnsi="Arial" w:cs="Arial"/>
        </w:rPr>
        <w:t>ITEM 20 – Relação das despesas efetuadas com dispensa ou inexigibilidade de licitação:</w:t>
      </w:r>
    </w:p>
    <w:p w:rsidR="007D13F9" w:rsidRPr="00C81343" w:rsidRDefault="00A53854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C81343">
        <w:rPr>
          <w:rFonts w:ascii="Arial" w:hAnsi="Arial" w:cs="Arial"/>
        </w:rPr>
        <w:t>Às fls.144/247,</w:t>
      </w:r>
      <w:r w:rsidR="00911AB6" w:rsidRPr="00C81343">
        <w:rPr>
          <w:rFonts w:ascii="Arial" w:hAnsi="Arial" w:cs="Arial"/>
        </w:rPr>
        <w:t xml:space="preserve"> </w:t>
      </w:r>
      <w:r w:rsidR="003C42EE" w:rsidRPr="00C81343">
        <w:rPr>
          <w:rFonts w:ascii="Arial" w:hAnsi="Arial" w:cs="Arial"/>
        </w:rPr>
        <w:t xml:space="preserve">encontra-se </w:t>
      </w:r>
      <w:r w:rsidR="00E846EB" w:rsidRPr="00C81343">
        <w:rPr>
          <w:rFonts w:ascii="Arial" w:hAnsi="Arial" w:cs="Arial"/>
        </w:rPr>
        <w:t>Relação das despesas efetuadas com dispensa ou inexigibilidade</w:t>
      </w:r>
      <w:r w:rsidR="00B568D4" w:rsidRPr="00C81343">
        <w:rPr>
          <w:rFonts w:ascii="Arial" w:hAnsi="Arial" w:cs="Arial"/>
        </w:rPr>
        <w:t xml:space="preserve"> </w:t>
      </w:r>
      <w:r w:rsidR="00623153" w:rsidRPr="00C81343">
        <w:rPr>
          <w:rFonts w:ascii="Arial" w:hAnsi="Arial" w:cs="Arial"/>
        </w:rPr>
        <w:t xml:space="preserve">de licitação no </w:t>
      </w:r>
      <w:r w:rsidR="00305B85" w:rsidRPr="00C81343">
        <w:rPr>
          <w:rFonts w:ascii="Arial" w:hAnsi="Arial" w:cs="Arial"/>
        </w:rPr>
        <w:t>exercício de 2017</w:t>
      </w:r>
      <w:r w:rsidR="00B568D4" w:rsidRPr="00C81343">
        <w:rPr>
          <w:rFonts w:ascii="Arial" w:hAnsi="Arial" w:cs="Arial"/>
        </w:rPr>
        <w:t xml:space="preserve">, </w:t>
      </w:r>
      <w:r w:rsidR="00911AB6" w:rsidRPr="00C81343">
        <w:rPr>
          <w:rFonts w:ascii="Arial" w:hAnsi="Arial" w:cs="Arial"/>
        </w:rPr>
        <w:t xml:space="preserve">inexistindo </w:t>
      </w:r>
      <w:r w:rsidR="007D13F9" w:rsidRPr="00C81343">
        <w:rPr>
          <w:rFonts w:ascii="Arial" w:hAnsi="Arial" w:cs="Arial"/>
        </w:rPr>
        <w:t>assinatura</w:t>
      </w:r>
      <w:r w:rsidR="00911AB6" w:rsidRPr="00C81343">
        <w:rPr>
          <w:rFonts w:ascii="Arial" w:hAnsi="Arial" w:cs="Arial"/>
        </w:rPr>
        <w:t xml:space="preserve"> e/ou rubrica</w:t>
      </w:r>
      <w:r w:rsidR="003E5ED9" w:rsidRPr="00C81343">
        <w:rPr>
          <w:rFonts w:ascii="Arial" w:hAnsi="Arial" w:cs="Arial"/>
        </w:rPr>
        <w:t xml:space="preserve"> </w:t>
      </w:r>
      <w:r w:rsidR="007D13F9" w:rsidRPr="00C81343">
        <w:rPr>
          <w:rFonts w:ascii="Arial" w:hAnsi="Arial" w:cs="Arial"/>
        </w:rPr>
        <w:t>d</w:t>
      </w:r>
      <w:r w:rsidR="00911AB6" w:rsidRPr="00C81343">
        <w:rPr>
          <w:rFonts w:ascii="Arial" w:hAnsi="Arial" w:cs="Arial"/>
        </w:rPr>
        <w:t>o responsável</w:t>
      </w:r>
      <w:r w:rsidR="007D13F9" w:rsidRPr="00C81343">
        <w:rPr>
          <w:rFonts w:ascii="Arial" w:hAnsi="Arial" w:cs="Arial"/>
        </w:rPr>
        <w:t>;</w:t>
      </w:r>
    </w:p>
    <w:p w:rsidR="00305B85" w:rsidRPr="000635A2" w:rsidRDefault="00305B85" w:rsidP="000E406F">
      <w:p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>ITEM 21 – Relação de Convênios firmados no exercício.</w:t>
      </w:r>
    </w:p>
    <w:p w:rsidR="00116EFC" w:rsidRPr="00C81343" w:rsidRDefault="00193411" w:rsidP="000E406F">
      <w:pPr>
        <w:pStyle w:val="PargrafodaLista"/>
        <w:numPr>
          <w:ilvl w:val="0"/>
          <w:numId w:val="40"/>
        </w:numPr>
        <w:spacing w:before="0" w:after="0"/>
        <w:rPr>
          <w:rFonts w:ascii="Arial" w:hAnsi="Arial" w:cs="Arial"/>
        </w:rPr>
      </w:pPr>
      <w:r w:rsidRPr="00C81343">
        <w:rPr>
          <w:rFonts w:ascii="Arial" w:hAnsi="Arial" w:cs="Arial"/>
        </w:rPr>
        <w:t xml:space="preserve">Às fls. 248/249, encontra-se </w:t>
      </w:r>
      <w:r w:rsidR="009A2E91" w:rsidRPr="00C81343">
        <w:rPr>
          <w:rFonts w:ascii="Arial" w:hAnsi="Arial" w:cs="Arial"/>
        </w:rPr>
        <w:t xml:space="preserve">cópia de </w:t>
      </w:r>
      <w:r w:rsidRPr="00C81343">
        <w:rPr>
          <w:rFonts w:ascii="Arial" w:hAnsi="Arial" w:cs="Arial"/>
        </w:rPr>
        <w:t>Certidão, datada de 27/04/2018, da lavra de Jarbas Pereira Ricardo – Diretor Administrativo Financeiro, certificando que: “</w:t>
      </w:r>
      <w:r w:rsidRPr="00C81343">
        <w:rPr>
          <w:rFonts w:ascii="Arial" w:hAnsi="Arial" w:cs="Arial"/>
          <w:i/>
          <w:u w:val="single"/>
        </w:rPr>
        <w:t xml:space="preserve"> não houve convênios no ano de 2017</w:t>
      </w:r>
      <w:r w:rsidRPr="00C81343">
        <w:rPr>
          <w:rFonts w:ascii="Arial" w:hAnsi="Arial" w:cs="Arial"/>
        </w:rPr>
        <w:t xml:space="preserve">”   </w:t>
      </w:r>
      <w:r w:rsidR="00C81343" w:rsidRPr="00C81343">
        <w:rPr>
          <w:rFonts w:ascii="Arial" w:hAnsi="Arial" w:cs="Arial"/>
        </w:rPr>
        <w:t>;</w:t>
      </w:r>
    </w:p>
    <w:p w:rsidR="004B2A72" w:rsidRPr="000635A2" w:rsidRDefault="004B2A72" w:rsidP="000E406F">
      <w:pPr>
        <w:spacing w:after="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ITEM 22 – Certidão expedida pelo conselho Regional de Contabilidade, comprovando a habilitação do profissional responsável pelos balanços e demonstrações contábeis:</w:t>
      </w:r>
    </w:p>
    <w:p w:rsidR="00D60956" w:rsidRPr="000635A2" w:rsidRDefault="004020BB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>Às fls. 250/251</w:t>
      </w:r>
      <w:r w:rsidR="004B2A72" w:rsidRPr="000635A2">
        <w:rPr>
          <w:rFonts w:ascii="Arial" w:hAnsi="Arial" w:cs="Arial"/>
        </w:rPr>
        <w:t xml:space="preserve">, </w:t>
      </w:r>
      <w:r w:rsidR="00305B85" w:rsidRPr="000635A2">
        <w:rPr>
          <w:rFonts w:ascii="Arial" w:hAnsi="Arial" w:cs="Arial"/>
        </w:rPr>
        <w:t>constatou-se uma</w:t>
      </w:r>
      <w:r w:rsidR="00804A7C" w:rsidRPr="000635A2">
        <w:rPr>
          <w:rFonts w:ascii="Arial" w:hAnsi="Arial" w:cs="Arial"/>
        </w:rPr>
        <w:t xml:space="preserve"> </w:t>
      </w:r>
      <w:r w:rsidR="00D60956" w:rsidRPr="000635A2">
        <w:rPr>
          <w:rFonts w:ascii="Arial" w:hAnsi="Arial" w:cs="Arial"/>
        </w:rPr>
        <w:t xml:space="preserve">Certidão Regularidade Profissional, expedida pelo Conselho </w:t>
      </w:r>
      <w:r w:rsidRPr="000635A2">
        <w:rPr>
          <w:rFonts w:ascii="Arial" w:hAnsi="Arial" w:cs="Arial"/>
        </w:rPr>
        <w:t>Regional de Contabilidade, em 15 de março</w:t>
      </w:r>
      <w:r w:rsidR="004B2A72" w:rsidRPr="000635A2">
        <w:rPr>
          <w:rFonts w:ascii="Arial" w:hAnsi="Arial" w:cs="Arial"/>
        </w:rPr>
        <w:t xml:space="preserve"> </w:t>
      </w:r>
      <w:r w:rsidR="00D60956" w:rsidRPr="000635A2">
        <w:rPr>
          <w:rFonts w:ascii="Arial" w:hAnsi="Arial" w:cs="Arial"/>
        </w:rPr>
        <w:t>de</w:t>
      </w:r>
      <w:r w:rsidRPr="000635A2">
        <w:rPr>
          <w:rFonts w:ascii="Arial" w:hAnsi="Arial" w:cs="Arial"/>
        </w:rPr>
        <w:t xml:space="preserve"> 2017</w:t>
      </w:r>
      <w:r w:rsidR="00D60956" w:rsidRPr="000635A2">
        <w:rPr>
          <w:rFonts w:ascii="Arial" w:hAnsi="Arial" w:cs="Arial"/>
        </w:rPr>
        <w:t>, comprov</w:t>
      </w:r>
      <w:r w:rsidR="007D13F9" w:rsidRPr="000635A2">
        <w:rPr>
          <w:rFonts w:ascii="Arial" w:hAnsi="Arial" w:cs="Arial"/>
        </w:rPr>
        <w:t xml:space="preserve">ando à habilitação </w:t>
      </w:r>
      <w:r w:rsidR="00116EFC" w:rsidRPr="000635A2">
        <w:rPr>
          <w:rFonts w:ascii="Arial" w:hAnsi="Arial" w:cs="Arial"/>
        </w:rPr>
        <w:t>do Contador</w:t>
      </w:r>
      <w:r w:rsidR="007D13F9" w:rsidRPr="000635A2">
        <w:rPr>
          <w:rFonts w:ascii="Arial" w:hAnsi="Arial" w:cs="Arial"/>
        </w:rPr>
        <w:t xml:space="preserve"> – </w:t>
      </w:r>
      <w:r w:rsidR="004F3C2F" w:rsidRPr="000635A2">
        <w:rPr>
          <w:rFonts w:ascii="Arial" w:hAnsi="Arial" w:cs="Arial"/>
        </w:rPr>
        <w:t>Willims Vasconcelos Silva</w:t>
      </w:r>
      <w:r w:rsidR="00D60956" w:rsidRPr="000635A2">
        <w:rPr>
          <w:rFonts w:ascii="Arial" w:hAnsi="Arial" w:cs="Arial"/>
        </w:rPr>
        <w:t xml:space="preserve">, </w:t>
      </w:r>
      <w:r w:rsidR="00D60956" w:rsidRPr="000635A2">
        <w:rPr>
          <w:rFonts w:ascii="Arial" w:hAnsi="Arial" w:cs="Arial"/>
        </w:rPr>
        <w:lastRenderedPageBreak/>
        <w:t>que se encontra em situação Regular,</w:t>
      </w:r>
      <w:r w:rsidR="004B2A72" w:rsidRPr="000635A2">
        <w:rPr>
          <w:rFonts w:ascii="Arial" w:hAnsi="Arial" w:cs="Arial"/>
        </w:rPr>
        <w:t xml:space="preserve"> com sua data de val</w:t>
      </w:r>
      <w:r w:rsidRPr="000635A2">
        <w:rPr>
          <w:rFonts w:ascii="Arial" w:hAnsi="Arial" w:cs="Arial"/>
        </w:rPr>
        <w:t>idade até 31/03/2017</w:t>
      </w:r>
      <w:r w:rsidR="002304E0" w:rsidRPr="000635A2">
        <w:rPr>
          <w:rFonts w:ascii="Arial" w:hAnsi="Arial" w:cs="Arial"/>
        </w:rPr>
        <w:t>;</w:t>
      </w:r>
    </w:p>
    <w:p w:rsidR="004B2A72" w:rsidRPr="000635A2" w:rsidRDefault="004B2A72" w:rsidP="000E406F">
      <w:p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>ITEM 23 – Parecer e Relatório do controle interno contendo o resultado das auditorias na unidade, bem como atestando a veracidade dos dados constantes na Prestação de contas:</w:t>
      </w:r>
    </w:p>
    <w:p w:rsidR="004020BB" w:rsidRPr="000635A2" w:rsidRDefault="004020BB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>À fl. 252/253</w:t>
      </w:r>
      <w:r w:rsidR="004B2A72" w:rsidRPr="000635A2">
        <w:rPr>
          <w:rFonts w:ascii="Arial" w:hAnsi="Arial" w:cs="Arial"/>
        </w:rPr>
        <w:t xml:space="preserve">, </w:t>
      </w:r>
      <w:r w:rsidRPr="000635A2">
        <w:rPr>
          <w:rFonts w:ascii="Arial" w:hAnsi="Arial" w:cs="Arial"/>
        </w:rPr>
        <w:t xml:space="preserve">consta </w:t>
      </w:r>
      <w:r w:rsidR="00112745" w:rsidRPr="000635A2">
        <w:rPr>
          <w:rFonts w:ascii="Arial" w:hAnsi="Arial" w:cs="Arial"/>
        </w:rPr>
        <w:t xml:space="preserve">cópia de </w:t>
      </w:r>
      <w:r w:rsidRPr="000635A2">
        <w:rPr>
          <w:rFonts w:ascii="Arial" w:hAnsi="Arial" w:cs="Arial"/>
        </w:rPr>
        <w:t>Nota Explicativa, datada de 27/04/2018, da lavra de Jarbas Pereira Ricardo – Diretor Adminis</w:t>
      </w:r>
      <w:r w:rsidR="00112745" w:rsidRPr="000635A2">
        <w:rPr>
          <w:rFonts w:ascii="Arial" w:hAnsi="Arial" w:cs="Arial"/>
        </w:rPr>
        <w:t>trativo</w:t>
      </w:r>
      <w:r w:rsidRPr="000635A2">
        <w:rPr>
          <w:rFonts w:ascii="Arial" w:hAnsi="Arial" w:cs="Arial"/>
        </w:rPr>
        <w:t>, informando que: “</w:t>
      </w:r>
      <w:r w:rsidRPr="000635A2">
        <w:rPr>
          <w:rFonts w:ascii="Arial" w:hAnsi="Arial" w:cs="Arial"/>
          <w:i/>
          <w:u w:val="single"/>
        </w:rPr>
        <w:t>não há auditoria independente na Companhia, sendo a mesma auditada pela controladoria Geral do Estado e Tribunal de Contas do Estado de Alagoas,  nós  estamos submetidos a LF nº 6.404/76</w:t>
      </w:r>
      <w:r w:rsidRPr="000635A2">
        <w:rPr>
          <w:rFonts w:ascii="Arial" w:hAnsi="Arial" w:cs="Arial"/>
        </w:rPr>
        <w:t xml:space="preserve">”.   </w:t>
      </w:r>
    </w:p>
    <w:p w:rsidR="004020BB" w:rsidRPr="00C81343" w:rsidRDefault="00116EFC" w:rsidP="000E406F">
      <w:pPr>
        <w:pStyle w:val="PargrafodaLista"/>
        <w:numPr>
          <w:ilvl w:val="0"/>
          <w:numId w:val="16"/>
        </w:numPr>
        <w:spacing w:after="0"/>
        <w:rPr>
          <w:rFonts w:ascii="Arial" w:hAnsi="Arial" w:cs="Arial"/>
        </w:rPr>
      </w:pPr>
      <w:r w:rsidRPr="00C81343">
        <w:rPr>
          <w:rFonts w:ascii="Arial" w:hAnsi="Arial" w:cs="Arial"/>
        </w:rPr>
        <w:t xml:space="preserve">Quanto ao item 13 - referente ao Parecer e </w:t>
      </w:r>
      <w:r w:rsidR="00112745" w:rsidRPr="00C81343">
        <w:rPr>
          <w:rFonts w:ascii="Arial" w:hAnsi="Arial" w:cs="Arial"/>
        </w:rPr>
        <w:t xml:space="preserve">Relatório do controle interno, </w:t>
      </w:r>
      <w:r w:rsidRPr="00C81343">
        <w:rPr>
          <w:rFonts w:ascii="Arial" w:hAnsi="Arial" w:cs="Arial"/>
        </w:rPr>
        <w:t xml:space="preserve">atestando a veracidade dos dados constantes na Prestação de Contas. É importante registrar, </w:t>
      </w:r>
      <w:r w:rsidR="004B2A72" w:rsidRPr="00C81343">
        <w:rPr>
          <w:rFonts w:ascii="Arial" w:hAnsi="Arial" w:cs="Arial"/>
        </w:rPr>
        <w:t xml:space="preserve">que após a realização da análise nas demonstrações e informações </w:t>
      </w:r>
      <w:r w:rsidR="002304E0" w:rsidRPr="00C81343">
        <w:rPr>
          <w:rFonts w:ascii="Arial" w:hAnsi="Arial" w:cs="Arial"/>
        </w:rPr>
        <w:t xml:space="preserve">da Companhia </w:t>
      </w:r>
      <w:r w:rsidR="002E01FA" w:rsidRPr="00C81343">
        <w:rPr>
          <w:rFonts w:ascii="Arial" w:hAnsi="Arial" w:cs="Arial"/>
        </w:rPr>
        <w:t>CEPAL</w:t>
      </w:r>
      <w:r w:rsidRPr="00C81343">
        <w:rPr>
          <w:rFonts w:ascii="Arial" w:hAnsi="Arial" w:cs="Arial"/>
        </w:rPr>
        <w:t xml:space="preserve"> </w:t>
      </w:r>
      <w:r w:rsidR="004020BB" w:rsidRPr="00C81343">
        <w:rPr>
          <w:rFonts w:ascii="Arial" w:hAnsi="Arial" w:cs="Arial"/>
        </w:rPr>
        <w:t xml:space="preserve">a </w:t>
      </w:r>
      <w:r w:rsidR="004B2A72" w:rsidRPr="00C81343">
        <w:rPr>
          <w:rFonts w:ascii="Arial" w:hAnsi="Arial" w:cs="Arial"/>
        </w:rPr>
        <w:t>Controladoria emitirá Parecer Conclusivo/CGE;</w:t>
      </w:r>
    </w:p>
    <w:p w:rsidR="004B2A72" w:rsidRPr="000635A2" w:rsidRDefault="007927DA" w:rsidP="000E406F">
      <w:pPr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t>ITEM 24 – Declaração de Bens (Patrimonial) do gestor:</w:t>
      </w:r>
    </w:p>
    <w:p w:rsidR="00A216F6" w:rsidRPr="00C81343" w:rsidRDefault="00FF3FCC" w:rsidP="000E406F">
      <w:pPr>
        <w:pStyle w:val="PargrafodaLista"/>
        <w:numPr>
          <w:ilvl w:val="0"/>
          <w:numId w:val="16"/>
        </w:numPr>
        <w:spacing w:before="0" w:after="0"/>
        <w:ind w:left="1080"/>
        <w:rPr>
          <w:rFonts w:ascii="Arial" w:hAnsi="Arial" w:cs="Arial"/>
        </w:rPr>
      </w:pPr>
      <w:r w:rsidRPr="00C81343">
        <w:rPr>
          <w:rFonts w:ascii="Arial" w:hAnsi="Arial" w:cs="Arial"/>
        </w:rPr>
        <w:t xml:space="preserve">Às fls. 254/265, </w:t>
      </w:r>
      <w:r w:rsidR="007927DA" w:rsidRPr="00C81343">
        <w:rPr>
          <w:rFonts w:ascii="Arial" w:hAnsi="Arial" w:cs="Arial"/>
        </w:rPr>
        <w:t>constatam-se Declarações de Bens Patrimoniais dos Gestores</w:t>
      </w:r>
      <w:r w:rsidRPr="00C81343">
        <w:rPr>
          <w:rFonts w:ascii="Arial" w:hAnsi="Arial" w:cs="Arial"/>
        </w:rPr>
        <w:t xml:space="preserve"> Dagoberto Costa Silva de Omena </w:t>
      </w:r>
      <w:r w:rsidR="007927DA" w:rsidRPr="00C81343">
        <w:rPr>
          <w:rFonts w:ascii="Arial" w:hAnsi="Arial" w:cs="Arial"/>
        </w:rPr>
        <w:t xml:space="preserve">– </w:t>
      </w:r>
      <w:r w:rsidR="002304E0" w:rsidRPr="00C81343">
        <w:rPr>
          <w:rFonts w:ascii="Arial" w:hAnsi="Arial" w:cs="Arial"/>
        </w:rPr>
        <w:t xml:space="preserve">Diretor </w:t>
      </w:r>
      <w:r w:rsidR="007927DA" w:rsidRPr="00C81343">
        <w:rPr>
          <w:rFonts w:ascii="Arial" w:hAnsi="Arial" w:cs="Arial"/>
        </w:rPr>
        <w:t>Presidente</w:t>
      </w:r>
      <w:r w:rsidRPr="00C81343">
        <w:rPr>
          <w:rFonts w:ascii="Arial" w:hAnsi="Arial" w:cs="Arial"/>
        </w:rPr>
        <w:t xml:space="preserve"> da CEPAL,</w:t>
      </w:r>
      <w:r w:rsidR="002304E0" w:rsidRPr="00C81343">
        <w:rPr>
          <w:rFonts w:ascii="Arial" w:hAnsi="Arial" w:cs="Arial"/>
        </w:rPr>
        <w:t xml:space="preserve"> ano calendário 2017; </w:t>
      </w:r>
      <w:r w:rsidR="007927DA" w:rsidRPr="00C81343">
        <w:rPr>
          <w:rFonts w:ascii="Arial" w:hAnsi="Arial" w:cs="Arial"/>
        </w:rPr>
        <w:t xml:space="preserve"> </w:t>
      </w:r>
    </w:p>
    <w:p w:rsidR="0035595C" w:rsidRPr="000635A2" w:rsidRDefault="00A216F6" w:rsidP="000E406F">
      <w:pPr>
        <w:pStyle w:val="PargrafodaLista"/>
        <w:spacing w:before="0" w:after="0"/>
        <w:ind w:left="0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ITEM 25 – 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como </w:t>
      </w:r>
      <w:r w:rsidR="00D121B0" w:rsidRPr="000635A2">
        <w:rPr>
          <w:rFonts w:ascii="Arial" w:hAnsi="Arial" w:cs="Arial"/>
        </w:rPr>
        <w:t>o ato de nomeação dos mesmos.</w:t>
      </w:r>
    </w:p>
    <w:p w:rsidR="00055230" w:rsidRPr="000635A2" w:rsidRDefault="00FF3FCC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>Às fls.266/272</w:t>
      </w:r>
      <w:r w:rsidR="00F3654C" w:rsidRPr="000635A2">
        <w:rPr>
          <w:rFonts w:ascii="Arial" w:hAnsi="Arial" w:cs="Arial"/>
        </w:rPr>
        <w:t>, enco</w:t>
      </w:r>
      <w:r w:rsidRPr="000635A2">
        <w:rPr>
          <w:rFonts w:ascii="Arial" w:hAnsi="Arial" w:cs="Arial"/>
        </w:rPr>
        <w:t>ntra-se Declaração, datada de 27</w:t>
      </w:r>
      <w:r w:rsidR="00A216F6" w:rsidRPr="000635A2">
        <w:rPr>
          <w:rFonts w:ascii="Arial" w:hAnsi="Arial" w:cs="Arial"/>
        </w:rPr>
        <w:t>/04/2018</w:t>
      </w:r>
      <w:r w:rsidR="002304E0" w:rsidRPr="000635A2">
        <w:rPr>
          <w:rFonts w:ascii="Arial" w:hAnsi="Arial" w:cs="Arial"/>
        </w:rPr>
        <w:t>, de lavra pelo</w:t>
      </w:r>
      <w:r w:rsidRPr="000635A2">
        <w:rPr>
          <w:rFonts w:ascii="Arial" w:hAnsi="Arial" w:cs="Arial"/>
        </w:rPr>
        <w:t xml:space="preserve"> Dagoberto Costa Silva de Omena </w:t>
      </w:r>
      <w:r w:rsidR="002304E0" w:rsidRPr="000635A2">
        <w:rPr>
          <w:rFonts w:ascii="Arial" w:hAnsi="Arial" w:cs="Arial"/>
        </w:rPr>
        <w:t>– Diretor Presidente</w:t>
      </w:r>
      <w:r w:rsidR="00F3654C" w:rsidRPr="000635A2">
        <w:rPr>
          <w:rFonts w:ascii="Arial" w:hAnsi="Arial" w:cs="Arial"/>
        </w:rPr>
        <w:t xml:space="preserve">, informando que </w:t>
      </w:r>
      <w:r w:rsidRPr="000635A2">
        <w:rPr>
          <w:rFonts w:ascii="Arial" w:hAnsi="Arial" w:cs="Arial"/>
        </w:rPr>
        <w:t xml:space="preserve">o </w:t>
      </w:r>
      <w:r w:rsidR="00F3654C" w:rsidRPr="000635A2">
        <w:rPr>
          <w:rFonts w:ascii="Arial" w:hAnsi="Arial" w:cs="Arial"/>
          <w:i/>
        </w:rPr>
        <w:t>Resumo da Folha de pagamento dos Servidores</w:t>
      </w:r>
      <w:r w:rsidRPr="000635A2">
        <w:rPr>
          <w:rFonts w:ascii="Arial" w:hAnsi="Arial" w:cs="Arial"/>
          <w:i/>
        </w:rPr>
        <w:t xml:space="preserve"> – Regime Geral de Previdência Social – RGPS e Regime Próprio de Previdência Social – RPPS da </w:t>
      </w:r>
      <w:r w:rsidRPr="000635A2">
        <w:rPr>
          <w:rFonts w:ascii="Arial" w:hAnsi="Arial" w:cs="Arial"/>
        </w:rPr>
        <w:t>CEPAL</w:t>
      </w:r>
      <w:r w:rsidR="002304E0" w:rsidRPr="000635A2">
        <w:rPr>
          <w:rFonts w:ascii="Arial" w:hAnsi="Arial" w:cs="Arial"/>
        </w:rPr>
        <w:t xml:space="preserve">, </w:t>
      </w:r>
      <w:r w:rsidR="0035595C" w:rsidRPr="000635A2">
        <w:rPr>
          <w:rFonts w:ascii="Arial" w:hAnsi="Arial" w:cs="Arial"/>
        </w:rPr>
        <w:t xml:space="preserve">esta se adequando </w:t>
      </w:r>
      <w:r w:rsidRPr="000635A2">
        <w:rPr>
          <w:rFonts w:ascii="Arial" w:hAnsi="Arial" w:cs="Arial"/>
        </w:rPr>
        <w:t>às exigências</w:t>
      </w:r>
      <w:r w:rsidR="0035595C" w:rsidRPr="000635A2">
        <w:rPr>
          <w:rFonts w:ascii="Arial" w:hAnsi="Arial" w:cs="Arial"/>
        </w:rPr>
        <w:t xml:space="preserve"> </w:t>
      </w:r>
      <w:r w:rsidR="002304E0" w:rsidRPr="000635A2">
        <w:rPr>
          <w:rFonts w:ascii="Arial" w:hAnsi="Arial" w:cs="Arial"/>
        </w:rPr>
        <w:t>Portal da Transparência d</w:t>
      </w:r>
      <w:r w:rsidR="00055230" w:rsidRPr="000635A2">
        <w:rPr>
          <w:rFonts w:ascii="Arial" w:hAnsi="Arial" w:cs="Arial"/>
        </w:rPr>
        <w:t>o governo do Estado de Alagoas.</w:t>
      </w:r>
      <w:r w:rsidR="00F3654C" w:rsidRPr="000635A2">
        <w:rPr>
          <w:rFonts w:ascii="Arial" w:hAnsi="Arial" w:cs="Arial"/>
        </w:rPr>
        <w:t xml:space="preserve"> </w:t>
      </w:r>
    </w:p>
    <w:p w:rsidR="0035595C" w:rsidRPr="000635A2" w:rsidRDefault="0035595C" w:rsidP="000E406F">
      <w:pPr>
        <w:pStyle w:val="PargrafodaLista"/>
        <w:spacing w:before="0" w:after="0"/>
        <w:ind w:left="1070"/>
        <w:rPr>
          <w:rFonts w:ascii="Arial" w:hAnsi="Arial" w:cs="Arial"/>
        </w:rPr>
      </w:pPr>
    </w:p>
    <w:p w:rsidR="00116EFC" w:rsidRPr="000635A2" w:rsidRDefault="00055230" w:rsidP="000E406F">
      <w:pPr>
        <w:pStyle w:val="PargrafodaLista"/>
        <w:spacing w:before="0" w:after="0"/>
        <w:ind w:left="1070"/>
        <w:rPr>
          <w:rFonts w:ascii="Arial" w:hAnsi="Arial" w:cs="Arial"/>
        </w:rPr>
      </w:pPr>
      <w:r w:rsidRPr="000635A2">
        <w:rPr>
          <w:rFonts w:ascii="Arial" w:hAnsi="Arial" w:cs="Arial"/>
        </w:rPr>
        <w:t>Em</w:t>
      </w:r>
      <w:r w:rsidR="00F3654C" w:rsidRPr="000635A2">
        <w:rPr>
          <w:rFonts w:ascii="Arial" w:hAnsi="Arial" w:cs="Arial"/>
        </w:rPr>
        <w:t xml:space="preserve"> relação às cópias da Lei de fixação dos subsídios do funcionalismo público,</w:t>
      </w:r>
      <w:r w:rsidR="00F3654C" w:rsidRPr="000635A2">
        <w:rPr>
          <w:rFonts w:ascii="Arial" w:hAnsi="Arial" w:cs="Arial"/>
          <w:b/>
          <w:i/>
        </w:rPr>
        <w:t xml:space="preserve"> </w:t>
      </w:r>
      <w:r w:rsidR="00F3654C" w:rsidRPr="000635A2">
        <w:rPr>
          <w:rFonts w:ascii="Arial" w:hAnsi="Arial" w:cs="Arial"/>
        </w:rPr>
        <w:t>bem como atos de nomeação não constam</w:t>
      </w:r>
      <w:r w:rsidR="00112745" w:rsidRPr="000635A2">
        <w:rPr>
          <w:rFonts w:ascii="Arial" w:hAnsi="Arial" w:cs="Arial"/>
        </w:rPr>
        <w:t xml:space="preserve">, por se tratar </w:t>
      </w:r>
      <w:r w:rsidR="00F3654C" w:rsidRPr="000635A2">
        <w:rPr>
          <w:rFonts w:ascii="Arial" w:hAnsi="Arial" w:cs="Arial"/>
        </w:rPr>
        <w:t xml:space="preserve">de uma sociedade de economia mista de capital fechado, regida </w:t>
      </w:r>
      <w:r w:rsidRPr="000635A2">
        <w:rPr>
          <w:rFonts w:ascii="Arial" w:hAnsi="Arial" w:cs="Arial"/>
        </w:rPr>
        <w:t>pela Lei nº 6.404/76, seus empregados são celetistas e submetidos às normas da CLT</w:t>
      </w:r>
      <w:r w:rsidR="00BE68A5" w:rsidRPr="000635A2">
        <w:rPr>
          <w:rFonts w:ascii="Arial" w:hAnsi="Arial" w:cs="Arial"/>
        </w:rPr>
        <w:t>;</w:t>
      </w:r>
      <w:r w:rsidR="00F3654C" w:rsidRPr="000635A2">
        <w:rPr>
          <w:rFonts w:ascii="Arial" w:hAnsi="Arial" w:cs="Arial"/>
        </w:rPr>
        <w:t xml:space="preserve"> </w:t>
      </w:r>
    </w:p>
    <w:p w:rsidR="00116EFC" w:rsidRPr="000635A2" w:rsidRDefault="00116EFC" w:rsidP="000E406F">
      <w:pPr>
        <w:spacing w:after="0"/>
        <w:rPr>
          <w:rFonts w:ascii="Arial" w:hAnsi="Arial" w:cs="Arial"/>
        </w:rPr>
      </w:pPr>
    </w:p>
    <w:p w:rsidR="0021596E" w:rsidRPr="000635A2" w:rsidRDefault="0035595C" w:rsidP="000E406F">
      <w:pPr>
        <w:pStyle w:val="PargrafodaLista"/>
        <w:numPr>
          <w:ilvl w:val="0"/>
          <w:numId w:val="16"/>
        </w:numPr>
        <w:spacing w:before="0" w:after="0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 </w:t>
      </w:r>
      <w:r w:rsidR="00F3654C" w:rsidRPr="000635A2">
        <w:rPr>
          <w:rFonts w:ascii="Arial" w:hAnsi="Arial" w:cs="Arial"/>
        </w:rPr>
        <w:t>Às fls.</w:t>
      </w:r>
      <w:r w:rsidRPr="000635A2">
        <w:rPr>
          <w:rFonts w:ascii="Arial" w:hAnsi="Arial" w:cs="Arial"/>
        </w:rPr>
        <w:t>273</w:t>
      </w:r>
      <w:r w:rsidR="00BE68A5" w:rsidRPr="000635A2">
        <w:rPr>
          <w:rFonts w:ascii="Arial" w:hAnsi="Arial" w:cs="Arial"/>
        </w:rPr>
        <w:t xml:space="preserve">, observa-se </w:t>
      </w:r>
      <w:r w:rsidR="00F3654C" w:rsidRPr="000635A2">
        <w:rPr>
          <w:rFonts w:ascii="Arial" w:hAnsi="Arial" w:cs="Arial"/>
        </w:rPr>
        <w:t xml:space="preserve"> Despacho</w:t>
      </w:r>
      <w:r w:rsidRPr="000635A2">
        <w:rPr>
          <w:rFonts w:ascii="Arial" w:hAnsi="Arial" w:cs="Arial"/>
        </w:rPr>
        <w:t>, datado em 30/04/2018</w:t>
      </w:r>
      <w:r w:rsidR="00BE68A5" w:rsidRPr="000635A2">
        <w:rPr>
          <w:rFonts w:ascii="Arial" w:hAnsi="Arial" w:cs="Arial"/>
        </w:rPr>
        <w:t xml:space="preserve">, da lavra </w:t>
      </w:r>
      <w:r w:rsidR="00890CF0" w:rsidRPr="000635A2">
        <w:rPr>
          <w:rFonts w:ascii="Arial" w:hAnsi="Arial" w:cs="Arial"/>
        </w:rPr>
        <w:t xml:space="preserve">da Assessora Técnica Gabinete </w:t>
      </w:r>
      <w:r w:rsidR="00F3654C" w:rsidRPr="000635A2">
        <w:rPr>
          <w:rFonts w:ascii="Arial" w:hAnsi="Arial" w:cs="Arial"/>
        </w:rPr>
        <w:t>da CGE, encaminhando os autos</w:t>
      </w:r>
      <w:r w:rsidR="00BE68A5" w:rsidRPr="000635A2">
        <w:rPr>
          <w:rFonts w:ascii="Arial" w:hAnsi="Arial" w:cs="Arial"/>
        </w:rPr>
        <w:t xml:space="preserve"> do processo </w:t>
      </w:r>
      <w:r w:rsidR="00F3654C" w:rsidRPr="000635A2">
        <w:rPr>
          <w:rFonts w:ascii="Arial" w:hAnsi="Arial" w:cs="Arial"/>
        </w:rPr>
        <w:t xml:space="preserve">a </w:t>
      </w:r>
      <w:r w:rsidR="00BE68A5" w:rsidRPr="000635A2">
        <w:rPr>
          <w:rFonts w:ascii="Arial" w:hAnsi="Arial" w:cs="Arial"/>
        </w:rPr>
        <w:t xml:space="preserve">Superintendência de Controle Financeiro - </w:t>
      </w:r>
      <w:r w:rsidR="00F3654C" w:rsidRPr="000635A2">
        <w:rPr>
          <w:rFonts w:ascii="Arial" w:hAnsi="Arial" w:cs="Arial"/>
        </w:rPr>
        <w:t>SUCOF, para análise e emissão de Parecer</w:t>
      </w:r>
      <w:r w:rsidRPr="000635A2">
        <w:rPr>
          <w:rFonts w:ascii="Arial" w:hAnsi="Arial" w:cs="Arial"/>
        </w:rPr>
        <w:t xml:space="preserve"> Interno.</w:t>
      </w:r>
    </w:p>
    <w:p w:rsidR="005E2DB0" w:rsidRPr="000635A2" w:rsidRDefault="005E2DB0" w:rsidP="000E406F">
      <w:pPr>
        <w:pStyle w:val="PargrafodaLista"/>
        <w:spacing w:before="0" w:after="0"/>
        <w:ind w:left="1211"/>
        <w:rPr>
          <w:rFonts w:ascii="Arial" w:hAnsi="Arial" w:cs="Arial"/>
        </w:rPr>
      </w:pPr>
    </w:p>
    <w:p w:rsidR="00385988" w:rsidRPr="000635A2" w:rsidRDefault="00385988" w:rsidP="000E406F">
      <w:pPr>
        <w:spacing w:after="0"/>
        <w:jc w:val="both"/>
        <w:rPr>
          <w:rFonts w:ascii="Arial" w:hAnsi="Arial" w:cs="Arial"/>
          <w:b/>
          <w:u w:val="single"/>
        </w:rPr>
      </w:pPr>
      <w:r w:rsidRPr="000635A2">
        <w:rPr>
          <w:rFonts w:ascii="Arial" w:hAnsi="Arial" w:cs="Arial"/>
          <w:b/>
          <w:u w:val="single"/>
        </w:rPr>
        <w:t xml:space="preserve">5 - </w:t>
      </w:r>
      <w:r w:rsidRPr="000635A2">
        <w:rPr>
          <w:rFonts w:ascii="Arial" w:hAnsi="Arial" w:cs="Arial"/>
          <w:b/>
          <w:bCs/>
          <w:u w:val="single"/>
        </w:rPr>
        <w:t>ANÁLISES DAS DEMONSTRAÇÕES CONTÁBEIS</w:t>
      </w:r>
    </w:p>
    <w:p w:rsidR="007035A0" w:rsidRPr="000635A2" w:rsidRDefault="007035A0" w:rsidP="000E406F">
      <w:pPr>
        <w:spacing w:after="0"/>
        <w:ind w:firstLine="72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As Demonstrações Contábeis exigidas pela Lei n° 6.404/76 estão contidas no art. 176, ao final de cada exercício social, a CEPAL elaborou, com base na escrituração mercantil da companhia, as seguintes Demonstrações Financeiras, que deverão exprimir com clareza a situação do patrimônio da empresa e as mutações ocorridas no exercício, a seguir: </w:t>
      </w:r>
    </w:p>
    <w:p w:rsidR="007035A0" w:rsidRPr="000635A2" w:rsidRDefault="007035A0" w:rsidP="000E406F">
      <w:pPr>
        <w:tabs>
          <w:tab w:val="left" w:pos="142"/>
        </w:tabs>
        <w:spacing w:after="0"/>
        <w:ind w:left="1134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lastRenderedPageBreak/>
        <w:t>1. Balanço Patrimonial;</w:t>
      </w:r>
    </w:p>
    <w:p w:rsidR="007035A0" w:rsidRPr="000635A2" w:rsidRDefault="007035A0" w:rsidP="000E406F">
      <w:pPr>
        <w:spacing w:after="0"/>
        <w:ind w:left="1134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2. Demonstração do Resultado do Exercício;</w:t>
      </w:r>
    </w:p>
    <w:p w:rsidR="007035A0" w:rsidRPr="000635A2" w:rsidRDefault="007035A0" w:rsidP="000E406F">
      <w:pPr>
        <w:spacing w:after="0"/>
        <w:ind w:left="1134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3. Demonstração dos L</w:t>
      </w:r>
      <w:r w:rsidR="000A437C">
        <w:rPr>
          <w:rFonts w:ascii="Arial" w:hAnsi="Arial" w:cs="Arial"/>
        </w:rPr>
        <w:t xml:space="preserve">ucros ou Prejuízos Acumulados; </w:t>
      </w:r>
    </w:p>
    <w:p w:rsidR="007035A0" w:rsidRPr="000635A2" w:rsidRDefault="007035A0" w:rsidP="000E406F">
      <w:pPr>
        <w:spacing w:after="0"/>
        <w:ind w:left="1134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4. Demonstrações das Or</w:t>
      </w:r>
      <w:r w:rsidR="000A437C">
        <w:rPr>
          <w:rFonts w:ascii="Arial" w:hAnsi="Arial" w:cs="Arial"/>
        </w:rPr>
        <w:t>igens e Aplicações de Recursos.</w:t>
      </w:r>
    </w:p>
    <w:p w:rsidR="007035A0" w:rsidRPr="000635A2" w:rsidRDefault="007035A0" w:rsidP="000E406F">
      <w:pPr>
        <w:spacing w:after="0"/>
        <w:jc w:val="both"/>
        <w:rPr>
          <w:rFonts w:ascii="Arial" w:hAnsi="Arial" w:cs="Arial"/>
        </w:rPr>
      </w:pPr>
    </w:p>
    <w:p w:rsidR="007035A0" w:rsidRPr="000635A2" w:rsidRDefault="007035A0" w:rsidP="000E406F">
      <w:pPr>
        <w:pStyle w:val="Ttulo"/>
        <w:numPr>
          <w:ilvl w:val="1"/>
          <w:numId w:val="14"/>
        </w:numPr>
        <w:tabs>
          <w:tab w:val="left" w:pos="567"/>
        </w:tabs>
        <w:spacing w:line="276" w:lineRule="auto"/>
        <w:jc w:val="both"/>
        <w:rPr>
          <w:rFonts w:cs="Arial"/>
          <w:bCs w:val="0"/>
          <w:sz w:val="22"/>
          <w:szCs w:val="22"/>
        </w:rPr>
      </w:pPr>
      <w:r w:rsidRPr="000635A2">
        <w:rPr>
          <w:rFonts w:cs="Arial"/>
          <w:sz w:val="22"/>
          <w:szCs w:val="22"/>
        </w:rPr>
        <w:t xml:space="preserve">Desempenho Econômico Financeiro </w:t>
      </w:r>
    </w:p>
    <w:p w:rsidR="007035A0" w:rsidRPr="000635A2" w:rsidRDefault="007035A0" w:rsidP="000E406F">
      <w:pPr>
        <w:shd w:val="clear" w:color="auto" w:fill="FFFFFF"/>
        <w:spacing w:after="0"/>
        <w:ind w:firstLine="709"/>
        <w:jc w:val="both"/>
        <w:rPr>
          <w:rFonts w:ascii="Arial" w:hAnsi="Arial" w:cs="Arial"/>
          <w:shd w:val="clear" w:color="auto" w:fill="FFFFFF"/>
        </w:rPr>
      </w:pPr>
      <w:r w:rsidRPr="000635A2">
        <w:rPr>
          <w:rFonts w:ascii="Arial" w:hAnsi="Arial" w:cs="Arial"/>
        </w:rPr>
        <w:t xml:space="preserve">Da análise procedida nos grupos Patrimoniais do Balanço, encerrado em 31 de dezembro de 2017, visando evidenciar a posição econômica financeira da CEPAL, foram utilizados procedimentos denominados de análise da Estrutura e Evolução (ou analise Vertical e Horizontal), que </w:t>
      </w:r>
      <w:r w:rsidRPr="000635A2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0635A2">
        <w:rPr>
          <w:rFonts w:ascii="Arial" w:hAnsi="Arial" w:cs="Arial"/>
          <w:shd w:val="clear" w:color="auto" w:fill="FFFFFF"/>
        </w:rPr>
        <w:t xml:space="preserve"> </w:t>
      </w:r>
    </w:p>
    <w:p w:rsidR="007035A0" w:rsidRPr="000635A2" w:rsidRDefault="007035A0" w:rsidP="000E406F">
      <w:pPr>
        <w:shd w:val="clear" w:color="auto" w:fill="FFFFFF"/>
        <w:spacing w:after="0"/>
        <w:ind w:firstLine="709"/>
        <w:jc w:val="both"/>
        <w:rPr>
          <w:rFonts w:ascii="Arial" w:hAnsi="Arial" w:cs="Arial"/>
          <w:shd w:val="clear" w:color="auto" w:fill="FFFFFF"/>
        </w:rPr>
      </w:pPr>
      <w:r w:rsidRPr="000635A2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pode ser avaliada, considerando: longo prazo, curto prazo ou prazo imediato.</w:t>
      </w:r>
    </w:p>
    <w:p w:rsidR="007035A0" w:rsidRPr="000635A2" w:rsidRDefault="007035A0" w:rsidP="000E406F">
      <w:pPr>
        <w:spacing w:after="0"/>
        <w:ind w:left="2268"/>
        <w:jc w:val="both"/>
        <w:rPr>
          <w:rFonts w:ascii="Arial" w:hAnsi="Arial" w:cs="Arial"/>
          <w:b/>
          <w:bCs/>
        </w:rPr>
      </w:pPr>
    </w:p>
    <w:p w:rsidR="007035A0" w:rsidRPr="000635A2" w:rsidRDefault="007035A0" w:rsidP="000E406F">
      <w:pPr>
        <w:pStyle w:val="Ttulo"/>
        <w:numPr>
          <w:ilvl w:val="1"/>
          <w:numId w:val="14"/>
        </w:numPr>
        <w:tabs>
          <w:tab w:val="left" w:pos="567"/>
        </w:tabs>
        <w:spacing w:line="276" w:lineRule="auto"/>
        <w:jc w:val="both"/>
        <w:rPr>
          <w:rFonts w:cs="Arial"/>
          <w:bCs w:val="0"/>
          <w:sz w:val="22"/>
          <w:szCs w:val="22"/>
        </w:rPr>
      </w:pPr>
      <w:r w:rsidRPr="000635A2">
        <w:rPr>
          <w:rFonts w:cs="Arial"/>
          <w:sz w:val="22"/>
          <w:szCs w:val="22"/>
        </w:rPr>
        <w:t>Demonstrativo das Receitas Operacionais em 31 de dezembro de 2017</w:t>
      </w:r>
    </w:p>
    <w:p w:rsidR="007035A0" w:rsidRPr="000635A2" w:rsidRDefault="007035A0" w:rsidP="000E406F">
      <w:pPr>
        <w:pStyle w:val="PargrafodaLista"/>
        <w:tabs>
          <w:tab w:val="left" w:pos="0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Em análise aos números que compõem as Demonstrações dos Resultados, constata-se, principalmente por meio das Demonstrações de Resultado, que a CEPAL apresentou um acréscimo significativa no seu  Lucro Liquido</w:t>
      </w:r>
      <w:r w:rsidRPr="000635A2">
        <w:rPr>
          <w:rFonts w:ascii="Arial" w:hAnsi="Arial" w:cs="Arial"/>
          <w:b/>
        </w:rPr>
        <w:t xml:space="preserve"> </w:t>
      </w:r>
      <w:r w:rsidRPr="000635A2">
        <w:rPr>
          <w:rFonts w:ascii="Arial" w:hAnsi="Arial" w:cs="Arial"/>
        </w:rPr>
        <w:t xml:space="preserve">no exercício social de 2017 em relação ao exercício social de 2016, representando em percentual de aproximadamente de 115,79%.  </w:t>
      </w:r>
    </w:p>
    <w:p w:rsidR="007035A0" w:rsidRPr="000635A2" w:rsidRDefault="007035A0" w:rsidP="000E406F">
      <w:pPr>
        <w:pStyle w:val="PargrafodaLista"/>
        <w:tabs>
          <w:tab w:val="left" w:pos="0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Em valores o Lucro Líquido no exercício social de 2016, apresenta um saldo negativo no valor de R$ 917.476,67 milhão  e um saldo de R$ 144.899,44(2017) .</w:t>
      </w:r>
    </w:p>
    <w:p w:rsidR="007035A0" w:rsidRPr="000635A2" w:rsidRDefault="007035A0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Em análise, ainda aos números que compõem as Demonstrações dos Resultados, do exercício findo em 2017, verifica-se que a CEPAL apresentou um acréscimo nas suas </w:t>
      </w:r>
      <w:r w:rsidRPr="000635A2">
        <w:rPr>
          <w:rFonts w:ascii="Arial" w:hAnsi="Arial" w:cs="Arial"/>
          <w:u w:val="single"/>
        </w:rPr>
        <w:t>Receitas de das Vendas e Serviços</w:t>
      </w:r>
      <w:r w:rsidRPr="000635A2">
        <w:rPr>
          <w:rFonts w:ascii="Arial" w:hAnsi="Arial" w:cs="Arial"/>
        </w:rPr>
        <w:t xml:space="preserve">, representando um percentual de </w:t>
      </w:r>
      <w:r w:rsidRPr="000635A2">
        <w:rPr>
          <w:rFonts w:ascii="Arial" w:eastAsia="Times New Roman" w:hAnsi="Arial" w:cs="Arial"/>
          <w:bCs/>
          <w:lang w:eastAsia="pt-BR"/>
        </w:rPr>
        <w:t>41,47</w:t>
      </w:r>
      <w:r w:rsidRPr="000635A2">
        <w:rPr>
          <w:rFonts w:ascii="Arial" w:hAnsi="Arial" w:cs="Arial"/>
        </w:rPr>
        <w:t xml:space="preserve">% em relação ao exercício social de 2016. </w:t>
      </w:r>
    </w:p>
    <w:p w:rsidR="007035A0" w:rsidRPr="000635A2" w:rsidRDefault="007035A0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E em valores as Receitas Bruta das Vendas e Serviços de R$4.850.136,36 milhões (quatro milhões, oitocentos e cinqüenta mil, cento e trinta e seis reais e trinta e seis centavos), gerada no exercício social de 2016, passou para R$6.223.683,13 milhões (seis milhões, duzentos e vinte e três mil, seiscentos e oitenta e três reais e treze centavos) no exercício findo de 2017.  </w:t>
      </w:r>
    </w:p>
    <w:p w:rsidR="007035A0" w:rsidRPr="000635A2" w:rsidRDefault="007035A0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Logo a Recita Líquida à Prazo, representou um acréscimo, de R$ 4.072 milhões (2016), passou para R$6.053 milhões (2017).  </w:t>
      </w:r>
    </w:p>
    <w:p w:rsidR="007035A0" w:rsidRPr="000635A2" w:rsidRDefault="007035A0" w:rsidP="000E406F">
      <w:pPr>
        <w:spacing w:after="0"/>
        <w:ind w:firstLine="709"/>
        <w:jc w:val="both"/>
        <w:rPr>
          <w:rFonts w:ascii="Arial" w:hAnsi="Arial" w:cs="Arial"/>
        </w:rPr>
      </w:pPr>
    </w:p>
    <w:p w:rsidR="007035A0" w:rsidRPr="000635A2" w:rsidRDefault="007035A0" w:rsidP="000E406F">
      <w:pPr>
        <w:shd w:val="clear" w:color="auto" w:fill="FFFFFF"/>
        <w:spacing w:after="0"/>
        <w:jc w:val="both"/>
        <w:rPr>
          <w:rFonts w:ascii="Arial" w:hAnsi="Arial" w:cs="Arial"/>
          <w:b/>
          <w:bCs/>
        </w:rPr>
      </w:pPr>
      <w:r w:rsidRPr="000635A2">
        <w:rPr>
          <w:rFonts w:ascii="Arial" w:hAnsi="Arial" w:cs="Arial"/>
          <w:b/>
          <w:bCs/>
        </w:rPr>
        <w:t>5.3.  Demonstrativo de alguns Indicadores Financeiros de Análise Global da Empresa</w:t>
      </w:r>
    </w:p>
    <w:p w:rsidR="007035A0" w:rsidRDefault="007035A0" w:rsidP="000E406F">
      <w:pPr>
        <w:shd w:val="clear" w:color="auto" w:fill="FFFFFF"/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4E49DD" w:rsidRPr="000635A2" w:rsidRDefault="004E49DD" w:rsidP="000E406F">
      <w:pPr>
        <w:shd w:val="clear" w:color="auto" w:fill="FFFFFF"/>
        <w:spacing w:after="0"/>
        <w:ind w:firstLine="709"/>
        <w:jc w:val="both"/>
        <w:rPr>
          <w:rFonts w:ascii="Arial" w:hAnsi="Arial" w:cs="Arial"/>
        </w:rPr>
      </w:pPr>
    </w:p>
    <w:p w:rsidR="007035A0" w:rsidRPr="000635A2" w:rsidRDefault="007035A0" w:rsidP="000E406F">
      <w:pPr>
        <w:shd w:val="clear" w:color="auto" w:fill="FFFFFF"/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sym w:font="Symbol" w:char="F0E0"/>
      </w:r>
      <w:r w:rsidRPr="000635A2">
        <w:rPr>
          <w:rFonts w:ascii="Arial" w:hAnsi="Arial" w:cs="Arial"/>
        </w:rPr>
        <w:t xml:space="preserve"> Liquidez Geral: índice maior ou igual a 1,00;</w:t>
      </w:r>
    </w:p>
    <w:p w:rsidR="007035A0" w:rsidRPr="000635A2" w:rsidRDefault="007035A0" w:rsidP="000E406F">
      <w:pPr>
        <w:shd w:val="clear" w:color="auto" w:fill="FFFFFF"/>
        <w:spacing w:after="0"/>
        <w:ind w:firstLine="708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sym w:font="Symbol" w:char="F0E0"/>
      </w:r>
      <w:r w:rsidRPr="000635A2">
        <w:rPr>
          <w:rFonts w:ascii="Arial" w:hAnsi="Arial" w:cs="Arial"/>
        </w:rPr>
        <w:t xml:space="preserve"> Liquidez Corrente: índice maior ou igual a 1,00</w:t>
      </w:r>
      <w:r w:rsidR="003541AC" w:rsidRPr="000635A2">
        <w:rPr>
          <w:rFonts w:ascii="Arial" w:hAnsi="Arial" w:cs="Arial"/>
        </w:rPr>
        <w:t>;</w:t>
      </w:r>
    </w:p>
    <w:p w:rsidR="007035A0" w:rsidRPr="000635A2" w:rsidRDefault="007035A0" w:rsidP="000E406F">
      <w:pPr>
        <w:shd w:val="clear" w:color="auto" w:fill="FFFFFF"/>
        <w:spacing w:after="0"/>
        <w:ind w:firstLine="708"/>
        <w:jc w:val="both"/>
        <w:rPr>
          <w:rFonts w:ascii="Arial" w:hAnsi="Arial" w:cs="Arial"/>
          <w:b/>
          <w:bCs/>
        </w:rPr>
      </w:pPr>
      <w:r w:rsidRPr="000635A2">
        <w:rPr>
          <w:rFonts w:ascii="Arial" w:hAnsi="Arial" w:cs="Arial"/>
        </w:rPr>
        <w:sym w:font="Symbol" w:char="F0E0"/>
      </w:r>
      <w:r w:rsidR="004E49DD">
        <w:rPr>
          <w:rFonts w:ascii="Arial" w:hAnsi="Arial" w:cs="Arial"/>
        </w:rPr>
        <w:t xml:space="preserve"> </w:t>
      </w:r>
      <w:r w:rsidRPr="000635A2">
        <w:rPr>
          <w:rFonts w:ascii="Arial" w:hAnsi="Arial" w:cs="Arial"/>
        </w:rPr>
        <w:t>Solvência Geral: índice maior ou igual a 1,00.</w:t>
      </w:r>
    </w:p>
    <w:p w:rsidR="007035A0" w:rsidRPr="000635A2" w:rsidRDefault="007035A0" w:rsidP="000E406F">
      <w:pPr>
        <w:shd w:val="clear" w:color="auto" w:fill="FFFFFF"/>
        <w:spacing w:after="0"/>
        <w:ind w:left="2268"/>
        <w:jc w:val="both"/>
        <w:rPr>
          <w:rFonts w:ascii="Arial" w:hAnsi="Arial" w:cs="Arial"/>
          <w:b/>
          <w:bCs/>
        </w:rPr>
      </w:pPr>
    </w:p>
    <w:p w:rsidR="007035A0" w:rsidRPr="000635A2" w:rsidRDefault="007035A0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lastRenderedPageBreak/>
        <w:t>Da análise dos valores demonstrados financeira no Balanço de 2017, com o auxílio das fórmulas que a auxiliam, conclui-se que a situação financeira da CEPAL é positiva, conforme demonstrativa em alguns indicadores financeiros global, analisados, a seguir:</w:t>
      </w:r>
    </w:p>
    <w:p w:rsidR="007035A0" w:rsidRPr="000635A2" w:rsidRDefault="007035A0" w:rsidP="000E406F">
      <w:pPr>
        <w:spacing w:after="0"/>
        <w:jc w:val="both"/>
        <w:rPr>
          <w:rFonts w:ascii="Arial" w:hAnsi="Arial" w:cs="Arial"/>
        </w:rPr>
      </w:pPr>
    </w:p>
    <w:p w:rsidR="007035A0" w:rsidRPr="000635A2" w:rsidRDefault="007035A0" w:rsidP="000E406F">
      <w:pPr>
        <w:spacing w:after="0"/>
        <w:jc w:val="both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>5.3.1. Situação Financeira/ Econômica</w:t>
      </w:r>
    </w:p>
    <w:p w:rsidR="007035A0" w:rsidRPr="000635A2" w:rsidRDefault="007035A0" w:rsidP="000E406F">
      <w:pPr>
        <w:spacing w:after="0"/>
        <w:jc w:val="both"/>
        <w:rPr>
          <w:rFonts w:ascii="Arial" w:hAnsi="Arial" w:cs="Arial"/>
          <w:b/>
        </w:rPr>
      </w:pPr>
    </w:p>
    <w:p w:rsidR="007035A0" w:rsidRPr="000635A2" w:rsidRDefault="007035A0" w:rsidP="000E406F">
      <w:pPr>
        <w:spacing w:after="0"/>
        <w:jc w:val="both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>1. Índice de Liquidez</w:t>
      </w:r>
    </w:p>
    <w:p w:rsidR="007035A0" w:rsidRPr="000635A2" w:rsidRDefault="007035A0" w:rsidP="000E406F">
      <w:pPr>
        <w:spacing w:after="0"/>
        <w:rPr>
          <w:rFonts w:ascii="Arial" w:hAnsi="Arial" w:cs="Arial"/>
          <w:b/>
        </w:rPr>
      </w:pPr>
    </w:p>
    <w:p w:rsidR="007035A0" w:rsidRPr="000635A2" w:rsidRDefault="007035A0" w:rsidP="000E406F">
      <w:pPr>
        <w:spacing w:after="0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>Tabela nº 01: Indicadores de Liquidez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35"/>
        <w:gridCol w:w="1984"/>
        <w:gridCol w:w="2268"/>
      </w:tblGrid>
      <w:tr w:rsidR="007035A0" w:rsidRPr="000635A2" w:rsidTr="00FD16B1">
        <w:trPr>
          <w:trHeight w:val="300"/>
        </w:trPr>
        <w:tc>
          <w:tcPr>
            <w:tcW w:w="4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Índice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Exercícios</w:t>
            </w:r>
          </w:p>
        </w:tc>
      </w:tr>
      <w:tr w:rsidR="007035A0" w:rsidRPr="000635A2" w:rsidTr="00FD16B1">
        <w:trPr>
          <w:trHeight w:val="70"/>
        </w:trPr>
        <w:tc>
          <w:tcPr>
            <w:tcW w:w="4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35A0" w:rsidRPr="000635A2" w:rsidRDefault="007035A0" w:rsidP="000E406F">
            <w:pPr>
              <w:spacing w:after="0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2017</w:t>
            </w:r>
          </w:p>
        </w:tc>
      </w:tr>
      <w:tr w:rsidR="007035A0" w:rsidRPr="000635A2" w:rsidTr="00FD16B1">
        <w:trPr>
          <w:trHeight w:val="136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5A0" w:rsidRPr="000635A2" w:rsidRDefault="007035A0" w:rsidP="000E406F">
            <w:pPr>
              <w:spacing w:after="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Liquidez Geral - LG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7,76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10,66</w:t>
            </w:r>
          </w:p>
        </w:tc>
      </w:tr>
      <w:tr w:rsidR="007035A0" w:rsidRPr="000635A2" w:rsidTr="00FD16B1">
        <w:trPr>
          <w:trHeight w:val="7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5A0" w:rsidRPr="000635A2" w:rsidRDefault="007035A0" w:rsidP="000E406F">
            <w:pPr>
              <w:spacing w:after="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Liquidez Corrente - LC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5,69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8,18</w:t>
            </w:r>
          </w:p>
        </w:tc>
      </w:tr>
      <w:tr w:rsidR="007035A0" w:rsidRPr="000635A2" w:rsidTr="00FD16B1">
        <w:trPr>
          <w:trHeight w:val="7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5A0" w:rsidRPr="000635A2" w:rsidRDefault="007035A0" w:rsidP="000E406F">
            <w:pPr>
              <w:spacing w:after="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Liquidez Seca - LS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4,94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635A2">
              <w:rPr>
                <w:rFonts w:ascii="Arial" w:eastAsia="Times New Roman" w:hAnsi="Arial" w:cs="Arial"/>
                <w:lang w:eastAsia="pt-BR"/>
              </w:rPr>
              <w:t>6,55</w:t>
            </w:r>
          </w:p>
        </w:tc>
      </w:tr>
    </w:tbl>
    <w:p w:rsidR="007035A0" w:rsidRPr="000635A2" w:rsidRDefault="007035A0" w:rsidP="000E406F">
      <w:pPr>
        <w:spacing w:after="0"/>
        <w:rPr>
          <w:rFonts w:ascii="Arial" w:hAnsi="Arial" w:cs="Arial"/>
          <w:b/>
        </w:rPr>
      </w:pPr>
    </w:p>
    <w:p w:rsidR="007035A0" w:rsidRPr="000635A2" w:rsidRDefault="007035A0" w:rsidP="000E406F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 xml:space="preserve"> Gráfico: 01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b/>
        </w:rPr>
      </w:pPr>
      <w:r w:rsidRPr="000635A2"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674360" cy="2338705"/>
            <wp:effectExtent l="19050" t="0" r="21590" b="4445"/>
            <wp:docPr id="1" name="Gráfico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1"/>
          <w:numId w:val="20"/>
        </w:numPr>
        <w:tabs>
          <w:tab w:val="left" w:pos="284"/>
        </w:tabs>
        <w:spacing w:before="0" w:after="0"/>
        <w:ind w:left="0" w:firstLine="0"/>
        <w:rPr>
          <w:rFonts w:ascii="Arial" w:hAnsi="Arial" w:cs="Arial"/>
        </w:rPr>
      </w:pPr>
      <w:r w:rsidRPr="000635A2">
        <w:rPr>
          <w:rFonts w:ascii="Arial" w:hAnsi="Arial" w:cs="Arial"/>
          <w:b/>
        </w:rPr>
        <w:t>Liquidez Geral</w:t>
      </w:r>
      <w:r w:rsidRPr="000635A2">
        <w:rPr>
          <w:rFonts w:ascii="Arial" w:hAnsi="Arial" w:cs="Arial"/>
        </w:rPr>
        <w:t xml:space="preserve">: Mostra a saúde financeira a Longo  prazo da empresa. </w:t>
      </w:r>
      <w:r w:rsidRPr="000635A2">
        <w:rPr>
          <w:rFonts w:ascii="Arial" w:hAnsi="Arial" w:cs="Arial"/>
          <w:shd w:val="clear" w:color="auto" w:fill="FFFFFF"/>
        </w:rPr>
        <w:t>Este indicador revela a liquidez, tanto à Curto como a Longo Prazo.  Aponta também quanto à empresa possui em dinheiro, bens e direitos realizáveis à Curto e Longo Prazo.</w:t>
      </w:r>
      <w:r w:rsidRPr="000635A2">
        <w:rPr>
          <w:rFonts w:ascii="Arial" w:hAnsi="Arial" w:cs="Arial"/>
        </w:rPr>
        <w:t xml:space="preserve">   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/>
        <w:rPr>
          <w:rFonts w:ascii="Arial" w:hAnsi="Arial" w:cs="Arial"/>
        </w:rPr>
      </w:pPr>
      <w:r w:rsidRPr="000635A2">
        <w:rPr>
          <w:rFonts w:ascii="Arial" w:hAnsi="Arial" w:cs="Arial"/>
          <w:b/>
        </w:rPr>
        <w:tab/>
      </w:r>
      <w:r w:rsidRPr="000635A2">
        <w:rPr>
          <w:rFonts w:ascii="Arial" w:hAnsi="Arial" w:cs="Arial"/>
          <w:b/>
        </w:rPr>
        <w:tab/>
      </w:r>
      <w:r w:rsidRPr="000635A2">
        <w:rPr>
          <w:rFonts w:ascii="Arial" w:hAnsi="Arial" w:cs="Arial"/>
        </w:rPr>
        <w:t>Neste índice no exercício de 2017 (LG= 10,66%), houve um acréscimo em relação ao exercício de 2016 (LG= 7,76 %). Sendo assim, este índice é  considerado excelente.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/>
        <w:rPr>
          <w:rFonts w:ascii="Arial" w:hAnsi="Arial" w:cs="Arial"/>
          <w:shd w:val="clear" w:color="auto" w:fill="FFFFFF"/>
        </w:rPr>
      </w:pPr>
      <w:r w:rsidRPr="000635A2">
        <w:rPr>
          <w:rFonts w:ascii="Arial" w:hAnsi="Arial" w:cs="Arial"/>
        </w:rPr>
        <w:tab/>
      </w:r>
      <w:r w:rsidRPr="000635A2">
        <w:rPr>
          <w:rFonts w:ascii="Arial" w:hAnsi="Arial" w:cs="Arial"/>
        </w:rPr>
        <w:tab/>
        <w:t xml:space="preserve">Conforme análise, com relação ao Índice de liquidez Geral, nos exercícios de 2017, para cada R$ 1,00 (um real) de débitos com terceiros, a CEPAL dispõe de    R$ 10,66, portanto, a empresa tem capacidade financeira, para honrar seus compromissos </w:t>
      </w:r>
      <w:r w:rsidRPr="000635A2">
        <w:rPr>
          <w:rFonts w:ascii="Arial" w:hAnsi="Arial" w:cs="Arial"/>
          <w:shd w:val="clear" w:color="auto" w:fill="FFFFFF"/>
        </w:rPr>
        <w:t>à Curto e Longo Prazo.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A liquidez geral mostra qual a capacidade financeira que a empresa possui para liquidar todas as suas obrigações a curto e longo prazo. Assim sendo, observa-se que os índices apurados pela CEPAL nos períodos de 2016 a 2017, demonstram que a mesma obteve um índice que lhe permita honrar seus compromissos nos prazos desejados, ou seja, apresenta índice acima do mínimo necessário para conseguir cumprir suas obrigações</w:t>
      </w:r>
      <w:r w:rsidRPr="000635A2">
        <w:rPr>
          <w:rFonts w:ascii="Arial" w:hAnsi="Arial" w:cs="Arial"/>
          <w:shd w:val="clear" w:color="auto" w:fill="FFFFFF"/>
        </w:rPr>
        <w:t>.</w:t>
      </w:r>
      <w:r w:rsidRPr="000635A2">
        <w:rPr>
          <w:rFonts w:ascii="Arial" w:hAnsi="Arial" w:cs="Arial"/>
        </w:rPr>
        <w:t xml:space="preserve">  </w:t>
      </w:r>
    </w:p>
    <w:p w:rsidR="007035A0" w:rsidRPr="000635A2" w:rsidRDefault="007035A0" w:rsidP="000E406F">
      <w:pPr>
        <w:tabs>
          <w:tab w:val="left" w:pos="284"/>
        </w:tabs>
        <w:spacing w:after="0"/>
        <w:rPr>
          <w:rFonts w:ascii="Arial" w:hAnsi="Arial" w:cs="Arial"/>
        </w:rPr>
      </w:pPr>
      <w:r w:rsidRPr="000635A2">
        <w:rPr>
          <w:rFonts w:ascii="Arial" w:hAnsi="Arial" w:cs="Arial"/>
        </w:rPr>
        <w:lastRenderedPageBreak/>
        <w:t xml:space="preserve">      </w:t>
      </w:r>
    </w:p>
    <w:p w:rsidR="007035A0" w:rsidRPr="000635A2" w:rsidRDefault="007035A0" w:rsidP="000E406F">
      <w:pPr>
        <w:pStyle w:val="PargrafodaLista"/>
        <w:numPr>
          <w:ilvl w:val="1"/>
          <w:numId w:val="20"/>
        </w:numPr>
        <w:tabs>
          <w:tab w:val="left" w:pos="284"/>
        </w:tabs>
        <w:spacing w:before="0" w:after="0"/>
        <w:ind w:left="0" w:firstLine="0"/>
        <w:rPr>
          <w:rFonts w:ascii="Arial" w:hAnsi="Arial" w:cs="Arial"/>
        </w:rPr>
      </w:pPr>
      <w:r w:rsidRPr="000635A2">
        <w:rPr>
          <w:rFonts w:ascii="Arial" w:hAnsi="Arial" w:cs="Arial"/>
          <w:b/>
        </w:rPr>
        <w:t>Liquidez Corrente</w:t>
      </w:r>
      <w:r w:rsidRPr="000635A2">
        <w:rPr>
          <w:rFonts w:ascii="Arial" w:hAnsi="Arial" w:cs="Arial"/>
        </w:rPr>
        <w:t xml:space="preserve">: Mostra a capacidade de pagamento da empresa no Curto Prazo. Este indicador aponta quanto à empresa possui no seu Ativo Circulante para honrar cada R$ 1,00 (um real) de dívida com terceiros, registrados no Passivo Circulante. De acordo com este índice, o ideal é que a empresa possua no mínimo R$ 1,00 (um real) de Ativo para cada R$ 1,00 (um real) do Passivo. </w:t>
      </w:r>
    </w:p>
    <w:p w:rsidR="007035A0" w:rsidRPr="000635A2" w:rsidRDefault="007035A0" w:rsidP="000E406F">
      <w:pPr>
        <w:tabs>
          <w:tab w:val="left" w:pos="284"/>
        </w:tabs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Neste índice no exercício de 2017 houve um acréscimo em relação ao exercício de 2016 (LC = 5,69%), este índice, no exercício de 2017(LC= 8,18 %) é  considerado excelente. </w:t>
      </w:r>
    </w:p>
    <w:p w:rsidR="007035A0" w:rsidRPr="000635A2" w:rsidRDefault="007035A0" w:rsidP="000E406F">
      <w:pPr>
        <w:tabs>
          <w:tab w:val="left" w:pos="284"/>
        </w:tabs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 liquidez corrente é semelhante à liquidez seca, no entanto os estoques são retirados no momento do cálculo. Pode-se observar que em 2017 (LC= 8,18%), o resultado desse índice ficou acima do mínimo necessário para honrar seus compromissos, porém no período de 2016(LC = 5,69%), o indicador sofreu uma redução, mas ainda foi superior ao mínimo ideal. </w:t>
      </w:r>
    </w:p>
    <w:p w:rsidR="007035A0" w:rsidRPr="000635A2" w:rsidRDefault="007035A0" w:rsidP="000E406F">
      <w:pPr>
        <w:tabs>
          <w:tab w:val="left" w:pos="284"/>
        </w:tabs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Neste caso, observa-se que a CEPAL tem capacidade financeira considerável para honrar em curto prazo, seus compromissos de dívida com terceiros, registradas no Passivo Circulante. A empresa apresenta uma situação favorável, pois seus investimentos no circulante são suficientes para cobrir suas obrigações de curto prazo com folga. 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1"/>
          <w:numId w:val="20"/>
        </w:numPr>
        <w:tabs>
          <w:tab w:val="left" w:pos="284"/>
        </w:tabs>
        <w:spacing w:before="0" w:after="0"/>
        <w:ind w:left="0" w:firstLine="0"/>
        <w:rPr>
          <w:rFonts w:ascii="Arial" w:hAnsi="Arial" w:cs="Arial"/>
        </w:rPr>
      </w:pPr>
      <w:r w:rsidRPr="000635A2">
        <w:rPr>
          <w:rFonts w:ascii="Arial" w:hAnsi="Arial" w:cs="Arial"/>
          <w:b/>
        </w:rPr>
        <w:t>Liquidez Seca</w:t>
      </w:r>
      <w:r w:rsidRPr="000635A2">
        <w:rPr>
          <w:rFonts w:ascii="Arial" w:hAnsi="Arial" w:cs="Arial"/>
        </w:rPr>
        <w:t>: È semelhante à Liquidez Corrente, no entanto, neste caso se subtrai do Ativo Circulante o valor dos Estoques. Desse modo, vê-se de um ponto de vista mais real e crítico a capacidade de cumprimento das obrigações da empresa. De acordo com este índice, indica que tirando os estoques, para cada R$ 1,00 (um real) de dívida de Curto Prazo com terceiros.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Neste índice, houve um acréscimo no exercício de 2017 (LS= 6,55 %) em relação ao exercício de 2016 (LS = 4,94%), este índice, no exercício de 2017 é  considerado excelente.</w:t>
      </w:r>
    </w:p>
    <w:p w:rsidR="007035A0" w:rsidRPr="000635A2" w:rsidRDefault="007035A0" w:rsidP="000E406F">
      <w:pPr>
        <w:tabs>
          <w:tab w:val="left" w:pos="284"/>
        </w:tabs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Conforme análise verifica-se, no exercício de 2017, a CEPAL deteve de R$ 6,55 (seis reais e cinqüenta e cinco centavos) de bens e direitos à Curto Prazo. Neste caso, tem capacidade financeira de à Curto Prazo saldar cada R$ 1,00 (um real) dos compromissos com dívida de Curto Prazo com Terceiros.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Por sua vez, a liquidez seca verifica a possibilidade da CEPAL  pagar suas obrigações excluindo do cálculo os estoques, por serem o ativo de menor liquidez em razão de que não é possível afirmar que os mesmos serão convertidos em dinheiro no prazo necessário para saldar suas obrigações. Verificou-se que a empresa apresentou índice de liquidez seca que lhe permita folga sem o uso deste item do circulante.</w:t>
      </w:r>
    </w:p>
    <w:p w:rsidR="007035A0" w:rsidRPr="000635A2" w:rsidRDefault="007035A0" w:rsidP="000E406F">
      <w:pPr>
        <w:tabs>
          <w:tab w:val="left" w:pos="284"/>
        </w:tabs>
        <w:spacing w:after="0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>Índice de Endividamento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after="0"/>
        <w:ind w:left="390"/>
        <w:rPr>
          <w:rFonts w:ascii="Arial" w:hAnsi="Arial" w:cs="Arial"/>
          <w:b/>
        </w:rPr>
      </w:pPr>
    </w:p>
    <w:p w:rsidR="007035A0" w:rsidRPr="000635A2" w:rsidRDefault="007035A0" w:rsidP="000E406F">
      <w:pPr>
        <w:tabs>
          <w:tab w:val="left" w:pos="284"/>
        </w:tabs>
        <w:spacing w:after="0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>Tabela nº 02: Indicadores de Endividamento</w:t>
      </w:r>
    </w:p>
    <w:tbl>
      <w:tblPr>
        <w:tblW w:w="880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35"/>
        <w:gridCol w:w="2126"/>
        <w:gridCol w:w="1843"/>
      </w:tblGrid>
      <w:tr w:rsidR="007035A0" w:rsidRPr="000635A2" w:rsidTr="00FD16B1">
        <w:trPr>
          <w:trHeight w:val="60"/>
        </w:trPr>
        <w:tc>
          <w:tcPr>
            <w:tcW w:w="4835" w:type="dxa"/>
            <w:vMerge w:val="restart"/>
            <w:shd w:val="pct5" w:color="auto" w:fill="auto"/>
            <w:vAlign w:val="center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Índice</w:t>
            </w:r>
          </w:p>
        </w:tc>
        <w:tc>
          <w:tcPr>
            <w:tcW w:w="3969" w:type="dxa"/>
            <w:gridSpan w:val="2"/>
            <w:shd w:val="pct5" w:color="auto" w:fill="auto"/>
            <w:vAlign w:val="center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Exercícios</w:t>
            </w:r>
          </w:p>
        </w:tc>
      </w:tr>
      <w:tr w:rsidR="007035A0" w:rsidRPr="000635A2" w:rsidTr="00FD16B1">
        <w:trPr>
          <w:trHeight w:val="60"/>
        </w:trPr>
        <w:tc>
          <w:tcPr>
            <w:tcW w:w="4835" w:type="dxa"/>
            <w:vMerge/>
            <w:shd w:val="pct5" w:color="auto" w:fill="auto"/>
            <w:vAlign w:val="center"/>
            <w:hideMark/>
          </w:tcPr>
          <w:p w:rsidR="007035A0" w:rsidRPr="000635A2" w:rsidRDefault="007035A0" w:rsidP="000E406F">
            <w:pPr>
              <w:spacing w:after="0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2126" w:type="dxa"/>
            <w:shd w:val="pct5" w:color="auto" w:fill="auto"/>
            <w:vAlign w:val="center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2016</w:t>
            </w:r>
          </w:p>
        </w:tc>
        <w:tc>
          <w:tcPr>
            <w:tcW w:w="1843" w:type="dxa"/>
            <w:shd w:val="pct5" w:color="auto" w:fill="auto"/>
            <w:vAlign w:val="center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/>
                <w:bCs/>
                <w:lang w:eastAsia="pt-BR"/>
              </w:rPr>
              <w:t>2017</w:t>
            </w:r>
          </w:p>
        </w:tc>
      </w:tr>
      <w:tr w:rsidR="007035A0" w:rsidRPr="000635A2" w:rsidTr="00FD16B1">
        <w:trPr>
          <w:trHeight w:val="160"/>
        </w:trPr>
        <w:tc>
          <w:tcPr>
            <w:tcW w:w="4835" w:type="dxa"/>
            <w:shd w:val="clear" w:color="auto" w:fill="auto"/>
            <w:hideMark/>
          </w:tcPr>
          <w:p w:rsidR="007035A0" w:rsidRPr="000635A2" w:rsidRDefault="007035A0" w:rsidP="000E406F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</w:rPr>
            </w:pPr>
            <w:r w:rsidRPr="000635A2">
              <w:rPr>
                <w:rFonts w:ascii="Arial" w:hAnsi="Arial" w:cs="Arial"/>
              </w:rPr>
              <w:t>Participação de Capitais de Terceiros (PCT)</w:t>
            </w:r>
          </w:p>
        </w:tc>
        <w:tc>
          <w:tcPr>
            <w:tcW w:w="2126" w:type="dxa"/>
            <w:shd w:val="clear" w:color="auto" w:fill="auto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Cs/>
                <w:lang w:eastAsia="pt-BR"/>
              </w:rPr>
              <w:t>0,13%</w:t>
            </w:r>
          </w:p>
        </w:tc>
        <w:tc>
          <w:tcPr>
            <w:tcW w:w="1843" w:type="dxa"/>
            <w:shd w:val="clear" w:color="auto" w:fill="auto"/>
            <w:hideMark/>
          </w:tcPr>
          <w:p w:rsidR="007035A0" w:rsidRPr="000635A2" w:rsidRDefault="007035A0" w:rsidP="000E406F">
            <w:pPr>
              <w:spacing w:after="0"/>
              <w:rPr>
                <w:rFonts w:ascii="Arial" w:eastAsia="Times New Roman" w:hAnsi="Arial" w:cs="Arial"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Cs/>
                <w:lang w:eastAsia="pt-BR"/>
              </w:rPr>
              <w:t xml:space="preserve">           0,09%</w:t>
            </w:r>
          </w:p>
        </w:tc>
      </w:tr>
      <w:tr w:rsidR="007035A0" w:rsidRPr="000635A2" w:rsidTr="00FD16B1">
        <w:trPr>
          <w:trHeight w:val="252"/>
        </w:trPr>
        <w:tc>
          <w:tcPr>
            <w:tcW w:w="4835" w:type="dxa"/>
            <w:shd w:val="clear" w:color="auto" w:fill="auto"/>
            <w:hideMark/>
          </w:tcPr>
          <w:p w:rsidR="007035A0" w:rsidRPr="000635A2" w:rsidRDefault="007035A0" w:rsidP="000E406F">
            <w:pPr>
              <w:tabs>
                <w:tab w:val="left" w:pos="284"/>
              </w:tabs>
              <w:spacing w:after="0"/>
              <w:rPr>
                <w:rFonts w:ascii="Arial" w:hAnsi="Arial" w:cs="Arial"/>
              </w:rPr>
            </w:pPr>
            <w:r w:rsidRPr="000635A2">
              <w:rPr>
                <w:rFonts w:ascii="Arial" w:hAnsi="Arial" w:cs="Arial"/>
              </w:rPr>
              <w:t>Composição de Endividamento - CE</w:t>
            </w:r>
          </w:p>
        </w:tc>
        <w:tc>
          <w:tcPr>
            <w:tcW w:w="2126" w:type="dxa"/>
            <w:shd w:val="clear" w:color="auto" w:fill="auto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Cs/>
                <w:lang w:eastAsia="pt-BR"/>
              </w:rPr>
              <w:t>1,00%</w:t>
            </w:r>
          </w:p>
        </w:tc>
        <w:tc>
          <w:tcPr>
            <w:tcW w:w="1843" w:type="dxa"/>
            <w:shd w:val="clear" w:color="auto" w:fill="auto"/>
            <w:hideMark/>
          </w:tcPr>
          <w:p w:rsidR="007035A0" w:rsidRPr="000635A2" w:rsidRDefault="007035A0" w:rsidP="000E406F">
            <w:pPr>
              <w:spacing w:after="0"/>
              <w:jc w:val="center"/>
              <w:rPr>
                <w:rFonts w:ascii="Arial" w:eastAsia="Times New Roman" w:hAnsi="Arial" w:cs="Arial"/>
                <w:bCs/>
                <w:lang w:eastAsia="pt-BR"/>
              </w:rPr>
            </w:pPr>
            <w:r w:rsidRPr="000635A2">
              <w:rPr>
                <w:rFonts w:ascii="Arial" w:eastAsia="Times New Roman" w:hAnsi="Arial" w:cs="Arial"/>
                <w:bCs/>
                <w:lang w:eastAsia="pt-BR"/>
              </w:rPr>
              <w:t>1,00%</w:t>
            </w:r>
          </w:p>
        </w:tc>
      </w:tr>
    </w:tbl>
    <w:p w:rsidR="007035A0" w:rsidRPr="000635A2" w:rsidRDefault="007035A0" w:rsidP="000E406F">
      <w:pPr>
        <w:pStyle w:val="PargrafodaLista"/>
        <w:tabs>
          <w:tab w:val="left" w:pos="0"/>
        </w:tabs>
        <w:spacing w:before="0" w:after="0"/>
        <w:ind w:left="0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tabs>
          <w:tab w:val="left" w:pos="0"/>
        </w:tabs>
        <w:spacing w:after="0"/>
        <w:ind w:left="0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lastRenderedPageBreak/>
        <w:t>Gráfico: 02</w:t>
      </w:r>
    </w:p>
    <w:p w:rsidR="007035A0" w:rsidRPr="000635A2" w:rsidRDefault="007035A0" w:rsidP="000E406F">
      <w:pPr>
        <w:pStyle w:val="PargrafodaLista"/>
        <w:tabs>
          <w:tab w:val="left" w:pos="0"/>
        </w:tabs>
        <w:spacing w:after="0"/>
        <w:ind w:left="0"/>
        <w:rPr>
          <w:rFonts w:ascii="Arial" w:hAnsi="Arial" w:cs="Arial"/>
          <w:b/>
        </w:rPr>
      </w:pPr>
      <w:r w:rsidRPr="000635A2"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659107" cy="2394204"/>
            <wp:effectExtent l="19050" t="0" r="17793" b="6096"/>
            <wp:docPr id="2" name="Gráfico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035A0" w:rsidRPr="000635A2" w:rsidRDefault="007035A0" w:rsidP="000E406F">
      <w:pPr>
        <w:tabs>
          <w:tab w:val="left" w:pos="284"/>
        </w:tabs>
        <w:spacing w:after="0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1"/>
          <w:numId w:val="20"/>
        </w:numPr>
        <w:tabs>
          <w:tab w:val="left" w:pos="284"/>
        </w:tabs>
        <w:spacing w:before="0" w:after="0"/>
        <w:ind w:left="0" w:firstLine="0"/>
        <w:rPr>
          <w:rFonts w:ascii="Arial" w:hAnsi="Arial" w:cs="Arial"/>
        </w:rPr>
      </w:pPr>
      <w:r w:rsidRPr="000635A2">
        <w:rPr>
          <w:rFonts w:ascii="Arial" w:hAnsi="Arial" w:cs="Arial"/>
          <w:b/>
        </w:rPr>
        <w:t>Participação de Capitais de Terceiros</w:t>
      </w:r>
      <w:r w:rsidRPr="000635A2">
        <w:rPr>
          <w:rFonts w:ascii="Arial" w:hAnsi="Arial" w:cs="Arial"/>
        </w:rPr>
        <w:t xml:space="preserve"> – Este índice indica o percentual de Capital de Terceiros em relação ao Patrimônio Líquido, retratando a dependência da empresa em relação aos recursos externos. Este índice de PCT,</w:t>
      </w:r>
      <w:r w:rsidRPr="000635A2">
        <w:rPr>
          <w:rFonts w:ascii="Arial" w:hAnsi="Arial" w:cs="Arial"/>
          <w:b/>
        </w:rPr>
        <w:t xml:space="preserve"> </w:t>
      </w:r>
      <w:r w:rsidRPr="000635A2">
        <w:rPr>
          <w:rFonts w:ascii="Arial" w:hAnsi="Arial" w:cs="Arial"/>
        </w:rPr>
        <w:t>isoladamente, para o analista financeiro, cujo objetivo é avaliar o risco da empresa, é no sentido de que “quanto maior, pior”.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Conforme análise, no exercício de 2017, verifica-se que para cada R$100,00(cem reais) de Capital Próprio, a CEPAL utilizou R$9,00, de Recursos de Terceiros, já no exercício de 2016, utilizou R$13,00 de Recursos de Terceiros.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A participação de capitais de terceiros mostra que a empresa possui recursos de terceiros elevados em relação ao seu capital próprio. Observa-se que, de 2016 a 2017, houve um aumento gradativo, evidenciando que a empresa necessitou obter mais capital de terceiros com fonte de financiamento de suas atividades.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1"/>
          <w:numId w:val="20"/>
        </w:numPr>
        <w:tabs>
          <w:tab w:val="left" w:pos="284"/>
        </w:tabs>
        <w:spacing w:before="0" w:after="0"/>
        <w:ind w:left="0" w:firstLine="0"/>
        <w:rPr>
          <w:rFonts w:ascii="Arial" w:hAnsi="Arial" w:cs="Arial"/>
        </w:rPr>
      </w:pPr>
      <w:r w:rsidRPr="000635A2">
        <w:rPr>
          <w:rFonts w:ascii="Arial" w:hAnsi="Arial" w:cs="Arial"/>
          <w:b/>
        </w:rPr>
        <w:t>Composição de Endividamento</w:t>
      </w:r>
      <w:r w:rsidRPr="000635A2">
        <w:rPr>
          <w:rFonts w:ascii="Arial" w:hAnsi="Arial" w:cs="Arial"/>
        </w:rPr>
        <w:t xml:space="preserve"> - Indica quanto da dívida total da empresa deverá ser pago a Curto Prazo, isto é, as Obrigações a Curto Prazo comparadas com as obrigações totais.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20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 composição de endividamento evidencia que as obrigações a curto   prazo da empresa diminuíram no ano de 2017,  em relação ao ano de 2016 analisado. Sob a ótica do ponto de vista de que quanto menor for o índice, melhor para a empresa, em 2016 e 2017 a empresa possui 1,00% e 1,00%  respectivamente de dividas que venciam a curto prazo. </w:t>
      </w:r>
    </w:p>
    <w:p w:rsidR="007035A0" w:rsidRPr="000635A2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>Conforme análise, no exercício de 2017, verifica-se que a CEPAL, obteve o percentual de 1,00%, significando o percentual da dívida total que vence em   Curto    Prazo.  Desse modo, contata-se que para cada R$ 1,00 de dívida que a CEPAL tem R$ 1,00 (um real), de dívida que vence a Curto Prazo, ou seja, num período inferior a um ano.</w:t>
      </w:r>
    </w:p>
    <w:p w:rsidR="007035A0" w:rsidRDefault="007035A0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</w:p>
    <w:p w:rsidR="004E49DD" w:rsidRDefault="004E49DD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</w:p>
    <w:p w:rsidR="004E49DD" w:rsidRDefault="004E49DD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</w:p>
    <w:p w:rsidR="004E49DD" w:rsidRPr="000635A2" w:rsidRDefault="004E49DD" w:rsidP="000E406F">
      <w:pPr>
        <w:pStyle w:val="PargrafodaLista"/>
        <w:tabs>
          <w:tab w:val="left" w:pos="284"/>
        </w:tabs>
        <w:spacing w:before="0" w:after="0"/>
        <w:ind w:left="0" w:firstLine="709"/>
        <w:rPr>
          <w:rFonts w:ascii="Arial" w:hAnsi="Arial" w:cs="Arial"/>
        </w:rPr>
      </w:pPr>
    </w:p>
    <w:p w:rsidR="007035A0" w:rsidRPr="000635A2" w:rsidRDefault="007035A0" w:rsidP="000E406F">
      <w:pPr>
        <w:spacing w:after="0"/>
        <w:jc w:val="both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lastRenderedPageBreak/>
        <w:t xml:space="preserve">5.3.2. Análise Vertical e Horizontal </w:t>
      </w:r>
    </w:p>
    <w:p w:rsidR="007035A0" w:rsidRPr="000635A2" w:rsidRDefault="007035A0" w:rsidP="000E406F">
      <w:pPr>
        <w:spacing w:after="0"/>
        <w:jc w:val="both"/>
        <w:rPr>
          <w:rFonts w:ascii="Arial" w:hAnsi="Arial" w:cs="Arial"/>
          <w:b/>
        </w:rPr>
      </w:pPr>
    </w:p>
    <w:p w:rsidR="007035A0" w:rsidRPr="000635A2" w:rsidRDefault="007035A0" w:rsidP="000E406F">
      <w:pPr>
        <w:pStyle w:val="Ttulo"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cs="Arial"/>
          <w:b w:val="0"/>
          <w:bCs w:val="0"/>
          <w:sz w:val="22"/>
          <w:szCs w:val="22"/>
        </w:rPr>
      </w:pPr>
      <w:r w:rsidRPr="000635A2">
        <w:rPr>
          <w:rFonts w:cs="Arial"/>
          <w:b w:val="0"/>
          <w:bCs w:val="0"/>
          <w:sz w:val="22"/>
          <w:szCs w:val="22"/>
        </w:rPr>
        <w:t>Análise da Estrutura (ou Análise Vertical)</w:t>
      </w:r>
    </w:p>
    <w:p w:rsidR="007035A0" w:rsidRPr="000635A2" w:rsidRDefault="007035A0" w:rsidP="000E406F">
      <w:pPr>
        <w:spacing w:after="0"/>
        <w:ind w:firstLine="720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A análise vertical permite, inicialmente, que o analista avalie a estrutura do Balanço (balanço patrimonial e demonstração de resultados), o que se chama de lógica de balanço, isto é, se a proporcionalidade dos diferentes componentes patrimoniais e de resultados se mantém ao longo dos anos ou se existem desequilíbrios importantes, que merecem uma avaliação mais minuciosa.</w:t>
      </w:r>
    </w:p>
    <w:p w:rsidR="007035A0" w:rsidRPr="000635A2" w:rsidRDefault="007035A0" w:rsidP="000E406F">
      <w:pPr>
        <w:spacing w:after="0"/>
        <w:jc w:val="both"/>
        <w:rPr>
          <w:rFonts w:ascii="Arial" w:hAnsi="Arial" w:cs="Arial"/>
        </w:rPr>
      </w:pPr>
    </w:p>
    <w:p w:rsidR="007035A0" w:rsidRPr="000635A2" w:rsidRDefault="007035A0" w:rsidP="000E406F">
      <w:pPr>
        <w:pStyle w:val="Ttulo"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cs="Arial"/>
          <w:b w:val="0"/>
          <w:bCs w:val="0"/>
          <w:sz w:val="22"/>
          <w:szCs w:val="22"/>
        </w:rPr>
      </w:pPr>
      <w:r w:rsidRPr="000635A2">
        <w:rPr>
          <w:rFonts w:cs="Arial"/>
          <w:b w:val="0"/>
          <w:bCs w:val="0"/>
          <w:sz w:val="22"/>
          <w:szCs w:val="22"/>
        </w:rPr>
        <w:t>Análise da Evolução (ou Análise Horizontal)</w:t>
      </w:r>
    </w:p>
    <w:p w:rsidR="007035A0" w:rsidRPr="000635A2" w:rsidRDefault="007035A0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A finalidade da análise horizontal é denotar o crescimento de itens dos Balanços e das Demonstrações de Resultados (como também de outros demonstrativos), através dos períodos, é uma forma simples, mas eficiente de se adquirir visão geral sobre os demonstrativos econômicos financeiros das empresas.</w:t>
      </w:r>
    </w:p>
    <w:p w:rsidR="007035A0" w:rsidRPr="000635A2" w:rsidRDefault="007035A0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Os procedimentos foram utilizados Analise Vertical e Análise Horizontal, cujo resultado deles decorrente seguir, porém, destaca-se que as tabelas que integram e subsidiaram os resultados, constam em Anexo I.</w:t>
      </w:r>
    </w:p>
    <w:p w:rsidR="007035A0" w:rsidRPr="000635A2" w:rsidRDefault="007035A0" w:rsidP="000E406F">
      <w:pPr>
        <w:pStyle w:val="Ttulo"/>
        <w:spacing w:line="276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DD515E" w:rsidRPr="000635A2" w:rsidRDefault="00DD515E" w:rsidP="000E406F">
      <w:pPr>
        <w:pStyle w:val="Ttulo"/>
        <w:spacing w:line="276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7035A0" w:rsidRPr="000635A2" w:rsidRDefault="007035A0" w:rsidP="000E406F">
      <w:pPr>
        <w:pStyle w:val="Ttulo"/>
        <w:spacing w:line="276" w:lineRule="auto"/>
        <w:jc w:val="both"/>
        <w:rPr>
          <w:rFonts w:cs="Arial"/>
          <w:b w:val="0"/>
          <w:bCs w:val="0"/>
          <w:sz w:val="22"/>
          <w:szCs w:val="22"/>
        </w:rPr>
      </w:pPr>
      <w:r w:rsidRPr="000635A2">
        <w:rPr>
          <w:rFonts w:cs="Arial"/>
          <w:sz w:val="22"/>
          <w:szCs w:val="22"/>
        </w:rPr>
        <w:t>5.3.2.1. Análise Vertical e Horizontal - Demonstrações Financeiras</w:t>
      </w:r>
    </w:p>
    <w:p w:rsidR="007035A0" w:rsidRPr="000635A2" w:rsidRDefault="007035A0" w:rsidP="000E406F">
      <w:pPr>
        <w:pStyle w:val="Ttulo"/>
        <w:spacing w:line="276" w:lineRule="auto"/>
        <w:ind w:firstLine="709"/>
        <w:jc w:val="both"/>
        <w:rPr>
          <w:rFonts w:cs="Arial"/>
          <w:b w:val="0"/>
          <w:bCs w:val="0"/>
          <w:sz w:val="22"/>
          <w:szCs w:val="22"/>
        </w:rPr>
      </w:pPr>
      <w:r w:rsidRPr="000635A2">
        <w:rPr>
          <w:rFonts w:cs="Arial"/>
          <w:b w:val="0"/>
          <w:bCs w:val="0"/>
          <w:sz w:val="22"/>
          <w:szCs w:val="22"/>
        </w:rPr>
        <w:t>Os procedimentos de Análise Vertical e Horizontal, segue adiante, destaca-se que as tabelas que subsidiaram o resultado contam em anexo.</w:t>
      </w:r>
    </w:p>
    <w:p w:rsidR="007035A0" w:rsidRPr="000635A2" w:rsidRDefault="007035A0" w:rsidP="000E406F">
      <w:pPr>
        <w:pStyle w:val="Ttulo"/>
        <w:numPr>
          <w:ilvl w:val="0"/>
          <w:numId w:val="11"/>
        </w:numPr>
        <w:tabs>
          <w:tab w:val="left" w:pos="567"/>
          <w:tab w:val="left" w:pos="851"/>
          <w:tab w:val="left" w:pos="993"/>
        </w:tabs>
        <w:spacing w:line="276" w:lineRule="auto"/>
        <w:ind w:left="0" w:firstLine="709"/>
        <w:jc w:val="both"/>
        <w:rPr>
          <w:rFonts w:cs="Arial"/>
          <w:b w:val="0"/>
          <w:bCs w:val="0"/>
          <w:sz w:val="22"/>
          <w:szCs w:val="22"/>
        </w:rPr>
      </w:pPr>
      <w:r w:rsidRPr="000635A2">
        <w:rPr>
          <w:rFonts w:cs="Arial"/>
          <w:b w:val="0"/>
          <w:bCs w:val="0"/>
          <w:sz w:val="22"/>
          <w:szCs w:val="22"/>
        </w:rPr>
        <w:t xml:space="preserve">A conta Disponibilidade registra o montante de R$1.155.834 milhão (um milhão, cento e cinqüenta e cinco mil, e oitocentos e trinta e quatro reais), que representa 15,81 % do total do Ativo. Observa-se que este saldo em relação ao exercício de 2016, houve uma redução  no percentual de 60,71%; </w:t>
      </w:r>
    </w:p>
    <w:p w:rsidR="007035A0" w:rsidRPr="000635A2" w:rsidRDefault="007035A0" w:rsidP="000E406F">
      <w:pPr>
        <w:spacing w:after="0"/>
        <w:ind w:right="17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284"/>
          <w:tab w:val="left" w:pos="426"/>
          <w:tab w:val="left" w:pos="567"/>
          <w:tab w:val="left" w:pos="851"/>
        </w:tabs>
        <w:spacing w:before="0" w:after="0"/>
        <w:ind w:left="0" w:right="17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 conta </w:t>
      </w:r>
      <w:r w:rsidRPr="000635A2">
        <w:rPr>
          <w:rFonts w:ascii="Arial" w:hAnsi="Arial" w:cs="Arial"/>
          <w:u w:val="single"/>
        </w:rPr>
        <w:t>Outros Crédito</w:t>
      </w:r>
      <w:r w:rsidRPr="000635A2">
        <w:rPr>
          <w:rFonts w:ascii="Arial" w:hAnsi="Arial" w:cs="Arial"/>
        </w:rPr>
        <w:t xml:space="preserve"> no exercício de 2017 apresenta o montante de R$483.003 mil (quatrocentos e oitenta e três mil e três reais), que representa um percentual de 6,61% do total do Ativo. Verifica-se que esta conta quando comparado ao  exercício de 2016 apresenta  uma redução no percentual de 16,27%;</w:t>
      </w:r>
    </w:p>
    <w:p w:rsidR="007035A0" w:rsidRPr="000635A2" w:rsidRDefault="007035A0" w:rsidP="000E406F">
      <w:pPr>
        <w:pStyle w:val="PargrafodaLista"/>
        <w:tabs>
          <w:tab w:val="left" w:pos="284"/>
          <w:tab w:val="left" w:pos="426"/>
          <w:tab w:val="left" w:pos="567"/>
          <w:tab w:val="left" w:pos="851"/>
        </w:tabs>
        <w:spacing w:before="0" w:after="0"/>
        <w:ind w:left="0" w:right="17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0"/>
          <w:tab w:val="left" w:pos="284"/>
          <w:tab w:val="left" w:pos="426"/>
          <w:tab w:val="left" w:pos="567"/>
        </w:tabs>
        <w:spacing w:before="0" w:after="0"/>
        <w:ind w:left="0" w:right="17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 conta </w:t>
      </w:r>
      <w:r w:rsidRPr="000635A2">
        <w:rPr>
          <w:rFonts w:ascii="Arial" w:eastAsia="Times New Roman" w:hAnsi="Arial" w:cs="Arial"/>
          <w:u w:val="single"/>
          <w:lang w:eastAsia="pt-BR"/>
        </w:rPr>
        <w:t>Duplicatas a Receber CEPAL</w:t>
      </w:r>
      <w:r w:rsidRPr="000635A2">
        <w:rPr>
          <w:rFonts w:ascii="Arial" w:hAnsi="Arial" w:cs="Arial"/>
        </w:rPr>
        <w:t xml:space="preserve"> no exercício de 2017 apresenta o montante de R$2.853.343 milhões (dois milhões, oitocentos e cinqüenta e três mil, trezentos e quarenta e três reais), que representa um percentual de 39,02% do total do Ativo. Verifica-se que esta conta quando comparado ao exercício de 2016 apresenta um acréscimo no percentual de 129,95%.</w:t>
      </w:r>
    </w:p>
    <w:p w:rsidR="007035A0" w:rsidRPr="000635A2" w:rsidRDefault="007035A0" w:rsidP="000E406F">
      <w:pPr>
        <w:pStyle w:val="Ttulo"/>
        <w:spacing w:line="276" w:lineRule="auto"/>
        <w:ind w:firstLine="709"/>
        <w:jc w:val="both"/>
        <w:rPr>
          <w:rFonts w:cs="Arial"/>
          <w:b w:val="0"/>
          <w:bCs w:val="0"/>
          <w:sz w:val="22"/>
          <w:szCs w:val="22"/>
        </w:rPr>
      </w:pPr>
      <w:r w:rsidRPr="000635A2">
        <w:rPr>
          <w:rFonts w:cs="Arial"/>
          <w:b w:val="0"/>
          <w:bCs w:val="0"/>
          <w:sz w:val="22"/>
          <w:szCs w:val="22"/>
        </w:rPr>
        <w:t xml:space="preserve">A Companhia informa que o saldo da conta supracitada representa 41,59% de todo faturamento no exercício de 2017, desse total apresentamos uma inadimplência, levando em consideração aos títulos emitido, vencíveis e recebíveis, no exercício social de 2017, ressaltamos ainda que esta conta no exercício de 2016 registrou um saldo (R$1.240.870,61), representa 25,58%, do faturamento no exercício de 2016; </w:t>
      </w:r>
    </w:p>
    <w:p w:rsidR="007035A0" w:rsidRPr="000635A2" w:rsidRDefault="007035A0" w:rsidP="000E406F">
      <w:pPr>
        <w:pStyle w:val="PargrafodaLista"/>
        <w:tabs>
          <w:tab w:val="left" w:pos="284"/>
          <w:tab w:val="left" w:pos="426"/>
          <w:tab w:val="left" w:pos="567"/>
          <w:tab w:val="left" w:pos="851"/>
        </w:tabs>
        <w:spacing w:before="0" w:after="0"/>
        <w:ind w:left="0" w:right="17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0"/>
        </w:tabs>
        <w:spacing w:before="0" w:after="0"/>
        <w:ind w:left="0" w:right="17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 conta </w:t>
      </w:r>
      <w:r w:rsidRPr="000635A2">
        <w:rPr>
          <w:rFonts w:ascii="Arial" w:eastAsia="Times New Roman" w:hAnsi="Arial" w:cs="Arial"/>
          <w:bCs/>
          <w:u w:val="single"/>
          <w:lang w:eastAsia="pt-BR"/>
        </w:rPr>
        <w:t>Estoque</w:t>
      </w:r>
      <w:r w:rsidRPr="000635A2">
        <w:rPr>
          <w:rFonts w:ascii="Arial" w:hAnsi="Arial" w:cs="Arial"/>
        </w:rPr>
        <w:t xml:space="preserve"> no exercício de 2017 apresenta o montante de R$1.117.864 milhões (um milhão, cento dezessete mil, oitocentos e sessenta e quatro reais), que representa um percentual de 15,29% do total do Ativo. Verifica-se que esta </w:t>
      </w:r>
      <w:r w:rsidRPr="000635A2">
        <w:rPr>
          <w:rFonts w:ascii="Arial" w:hAnsi="Arial" w:cs="Arial"/>
        </w:rPr>
        <w:lastRenderedPageBreak/>
        <w:t>conta quando comparado ao exercício de 2016 apresenta  um acréscimo no percentual de  55,26%;</w:t>
      </w:r>
    </w:p>
    <w:p w:rsidR="007035A0" w:rsidRPr="000635A2" w:rsidRDefault="007035A0" w:rsidP="000E406F">
      <w:pPr>
        <w:pStyle w:val="PargrafodaLista"/>
        <w:tabs>
          <w:tab w:val="left" w:pos="0"/>
        </w:tabs>
        <w:spacing w:before="0" w:after="0"/>
        <w:ind w:left="709" w:right="17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0"/>
        </w:tabs>
        <w:spacing w:before="0" w:after="0"/>
        <w:ind w:left="0" w:right="17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 conta </w:t>
      </w:r>
      <w:r w:rsidRPr="000635A2">
        <w:rPr>
          <w:rFonts w:ascii="Arial" w:eastAsia="Times New Roman" w:hAnsi="Arial" w:cs="Arial"/>
          <w:u w:val="single"/>
          <w:lang w:eastAsia="pt-BR"/>
        </w:rPr>
        <w:t>Depósitos e Canções</w:t>
      </w:r>
      <w:r w:rsidRPr="000635A2">
        <w:rPr>
          <w:rFonts w:ascii="Arial" w:eastAsia="Times New Roman" w:hAnsi="Arial" w:cs="Arial"/>
          <w:lang w:eastAsia="pt-BR"/>
        </w:rPr>
        <w:t xml:space="preserve"> </w:t>
      </w:r>
      <w:r w:rsidRPr="000635A2">
        <w:rPr>
          <w:rFonts w:ascii="Arial" w:hAnsi="Arial" w:cs="Arial"/>
        </w:rPr>
        <w:t>no exercício de 2017 apresentam o montante de R$422.626 mil (quatrocentos e vinte e dois mil, seiscentos e vinte e seis reais), que representa um percentual de 5,78% do total do ativo. Verifica-se que esta conta registrou no exercício de 2016 (R$ 421.085,16) e quando comparado ao exercício de 2017(R$422.626), apresenta um acréscimo no percentual de 0,37%.</w:t>
      </w:r>
    </w:p>
    <w:p w:rsidR="007035A0" w:rsidRPr="000635A2" w:rsidRDefault="007035A0" w:rsidP="000E406F">
      <w:pPr>
        <w:pStyle w:val="PargrafodaLista"/>
        <w:rPr>
          <w:rFonts w:ascii="Arial" w:hAnsi="Arial" w:cs="Arial"/>
          <w:bCs/>
        </w:rPr>
      </w:pPr>
    </w:p>
    <w:p w:rsidR="007035A0" w:rsidRPr="000635A2" w:rsidRDefault="007035A0" w:rsidP="000E406F">
      <w:pPr>
        <w:pStyle w:val="PargrafodaLista"/>
        <w:tabs>
          <w:tab w:val="left" w:pos="0"/>
        </w:tabs>
        <w:spacing w:before="0" w:after="0"/>
        <w:ind w:left="0" w:right="17" w:firstLine="709"/>
        <w:rPr>
          <w:rFonts w:ascii="Arial" w:hAnsi="Arial" w:cs="Arial"/>
          <w:bCs/>
        </w:rPr>
      </w:pPr>
      <w:r w:rsidRPr="000635A2">
        <w:rPr>
          <w:rFonts w:ascii="Arial" w:hAnsi="Arial" w:cs="Arial"/>
          <w:bCs/>
        </w:rPr>
        <w:t>Este saldo trata-se de recursos na justiça do Trabalho devido uma reclamação trabalhista, para obter a reforma da sentença e julgar procedente a preliminar de exclusão da Litisconsorte, e uma ação de procedimentos ordinários contra o município de Maceió-Al, na defesa de uma cobrança fiscal motivada pela SMF;</w:t>
      </w:r>
    </w:p>
    <w:p w:rsidR="007035A0" w:rsidRPr="000635A2" w:rsidRDefault="007035A0" w:rsidP="000E406F">
      <w:pPr>
        <w:pStyle w:val="PargrafodaLista"/>
        <w:tabs>
          <w:tab w:val="left" w:pos="284"/>
          <w:tab w:val="left" w:pos="426"/>
          <w:tab w:val="left" w:pos="567"/>
          <w:tab w:val="left" w:pos="851"/>
        </w:tabs>
        <w:spacing w:before="0" w:after="0"/>
        <w:ind w:right="17"/>
        <w:rPr>
          <w:rFonts w:ascii="Arial" w:hAnsi="Arial" w:cs="Arial"/>
        </w:rPr>
      </w:pPr>
    </w:p>
    <w:p w:rsidR="007035A0" w:rsidRPr="000635A2" w:rsidRDefault="00FA3A25" w:rsidP="000E406F">
      <w:pPr>
        <w:pStyle w:val="PargrafodaLista"/>
        <w:numPr>
          <w:ilvl w:val="0"/>
          <w:numId w:val="11"/>
        </w:numPr>
        <w:tabs>
          <w:tab w:val="left" w:pos="0"/>
          <w:tab w:val="left" w:pos="851"/>
        </w:tabs>
        <w:spacing w:before="0" w:after="0"/>
        <w:ind w:left="0" w:right="17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035A0" w:rsidRPr="000635A2">
        <w:rPr>
          <w:rFonts w:ascii="Arial" w:hAnsi="Arial" w:cs="Arial"/>
        </w:rPr>
        <w:t xml:space="preserve">A conta </w:t>
      </w:r>
      <w:r w:rsidR="007035A0" w:rsidRPr="000635A2">
        <w:rPr>
          <w:rFonts w:ascii="Arial" w:hAnsi="Arial" w:cs="Arial"/>
          <w:u w:val="single"/>
        </w:rPr>
        <w:t>Imobilizado de Uso</w:t>
      </w:r>
      <w:r w:rsidR="007035A0" w:rsidRPr="000635A2">
        <w:rPr>
          <w:rFonts w:ascii="Arial" w:hAnsi="Arial" w:cs="Arial"/>
        </w:rPr>
        <w:t xml:space="preserve"> pertencente Ativo Não Circulante, apresentou um saldo no valor de R$1.701.535 milhão (um milhão, setecentos e um mil, quinhentos e trinta e cinco reais) no exercício de 2017 e registrou um saldo de R$2.004.238 milhão (dois milhão, quatro  mil e duzentos e trinta e oito reais) em 2016, este quando comparado ao  exercício de 2017, apresenta um redução  no percentual de 15,10%; </w:t>
      </w:r>
    </w:p>
    <w:p w:rsidR="007035A0" w:rsidRPr="000635A2" w:rsidRDefault="007035A0" w:rsidP="000E406F">
      <w:pPr>
        <w:pStyle w:val="PargrafodaLista"/>
        <w:tabs>
          <w:tab w:val="left" w:pos="284"/>
          <w:tab w:val="left" w:pos="426"/>
          <w:tab w:val="left" w:pos="567"/>
          <w:tab w:val="left" w:pos="851"/>
        </w:tabs>
        <w:spacing w:before="0" w:after="0"/>
        <w:ind w:left="1069" w:right="17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0"/>
          <w:tab w:val="left" w:pos="567"/>
          <w:tab w:val="left" w:pos="993"/>
        </w:tabs>
        <w:spacing w:before="0" w:after="0"/>
        <w:ind w:left="0" w:right="17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 A conta </w:t>
      </w:r>
      <w:r w:rsidRPr="000635A2">
        <w:rPr>
          <w:rFonts w:ascii="Arial" w:hAnsi="Arial" w:cs="Arial"/>
          <w:u w:val="single"/>
        </w:rPr>
        <w:t>Fornecedores Diversos,</w:t>
      </w:r>
      <w:r w:rsidRPr="000635A2">
        <w:rPr>
          <w:rFonts w:ascii="Arial" w:hAnsi="Arial" w:cs="Arial"/>
        </w:rPr>
        <w:t xml:space="preserve"> registrada um saldo de R$54.768 mil (cinqüenta e quatro mil, setecentos e sessenta e oito reais), que corresponde 0,75% do total do Passivo e registrou um saldo de R$137.086 mil (cento e trinta e sete mil, oitenta e seis reais) em 2016, este quando comparado ao  exercício de 2017, apresenta um redução  no percentual de 60,05%;</w:t>
      </w:r>
    </w:p>
    <w:p w:rsidR="007035A0" w:rsidRPr="000635A2" w:rsidRDefault="007035A0" w:rsidP="000E406F">
      <w:pPr>
        <w:pStyle w:val="PargrafodaLista"/>
        <w:tabs>
          <w:tab w:val="left" w:pos="284"/>
          <w:tab w:val="left" w:pos="426"/>
          <w:tab w:val="left" w:pos="567"/>
          <w:tab w:val="left" w:pos="851"/>
        </w:tabs>
        <w:spacing w:before="0" w:after="0"/>
        <w:ind w:left="1069" w:right="17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0"/>
          <w:tab w:val="left" w:pos="709"/>
        </w:tabs>
        <w:spacing w:before="0" w:after="0"/>
        <w:ind w:left="0" w:right="17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Verifica-se, ainda, que no Passivo Circulante a conta </w:t>
      </w:r>
      <w:r w:rsidRPr="000635A2">
        <w:rPr>
          <w:rFonts w:ascii="Arial" w:hAnsi="Arial" w:cs="Arial"/>
          <w:u w:val="single"/>
        </w:rPr>
        <w:t xml:space="preserve">Outras Débitos </w:t>
      </w:r>
      <w:r w:rsidRPr="000635A2">
        <w:rPr>
          <w:rFonts w:ascii="Arial" w:hAnsi="Arial" w:cs="Arial"/>
        </w:rPr>
        <w:t xml:space="preserve"> no exercício de 2017, apresenta um saldo de R$630.972 mil (seiscentos e trinta mil, novecentos e setenta e dois  reais), que corresponde 8,63%  do total do passivo, esta conta  quando comparado ao  exercício de 2016,   teve uma redução  no percentual de 23,68%;</w:t>
      </w:r>
    </w:p>
    <w:p w:rsidR="007035A0" w:rsidRPr="000635A2" w:rsidRDefault="007035A0" w:rsidP="000E406F">
      <w:pPr>
        <w:pStyle w:val="PargrafodaLista"/>
        <w:tabs>
          <w:tab w:val="left" w:pos="0"/>
          <w:tab w:val="left" w:pos="709"/>
        </w:tabs>
        <w:spacing w:before="0" w:after="0"/>
        <w:ind w:left="0" w:right="17" w:firstLine="709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0"/>
          <w:tab w:val="left" w:pos="709"/>
          <w:tab w:val="left" w:pos="993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Conta </w:t>
      </w:r>
      <w:r w:rsidRPr="000635A2">
        <w:rPr>
          <w:rFonts w:ascii="Arial" w:hAnsi="Arial" w:cs="Arial"/>
          <w:u w:val="single"/>
        </w:rPr>
        <w:t xml:space="preserve">Adiantamento de Clientes, </w:t>
      </w:r>
      <w:r w:rsidRPr="000635A2">
        <w:rPr>
          <w:rFonts w:ascii="Arial" w:hAnsi="Arial" w:cs="Arial"/>
        </w:rPr>
        <w:t xml:space="preserve">registra no Passivo Circulante um saldo de R$ 212.001 (duzentos e doze mil e um real) no exercício de 2017, observa-se que corresponde 2,90% do total do Passivo. Verifica-se que nesta conta,no exercício de 2017, sofreu uma redução  no percentual de 20,77%,  em relação ao exercício e 2016 (R$267.581); </w:t>
      </w:r>
    </w:p>
    <w:p w:rsidR="007035A0" w:rsidRPr="000635A2" w:rsidRDefault="007035A0" w:rsidP="000E406F">
      <w:pPr>
        <w:pStyle w:val="PargrafodaLista"/>
        <w:tabs>
          <w:tab w:val="left" w:pos="0"/>
          <w:tab w:val="left" w:pos="709"/>
        </w:tabs>
        <w:spacing w:before="0" w:after="0"/>
        <w:ind w:left="0" w:firstLine="709"/>
        <w:rPr>
          <w:rFonts w:ascii="Arial" w:hAnsi="Arial" w:cs="Arial"/>
        </w:rPr>
      </w:pPr>
    </w:p>
    <w:p w:rsidR="007035A0" w:rsidRPr="000635A2" w:rsidRDefault="007035A0" w:rsidP="000E406F">
      <w:pPr>
        <w:pStyle w:val="PargrafodaLista"/>
        <w:numPr>
          <w:ilvl w:val="0"/>
          <w:numId w:val="11"/>
        </w:numPr>
        <w:tabs>
          <w:tab w:val="left" w:pos="0"/>
          <w:tab w:val="left" w:pos="709"/>
          <w:tab w:val="left" w:pos="993"/>
        </w:tabs>
        <w:spacing w:before="0" w:after="0"/>
        <w:ind w:left="0" w:firstLine="709"/>
        <w:rPr>
          <w:rFonts w:ascii="Arial" w:hAnsi="Arial" w:cs="Arial"/>
        </w:rPr>
      </w:pPr>
      <w:r w:rsidRPr="000635A2">
        <w:rPr>
          <w:rFonts w:ascii="Arial" w:hAnsi="Arial" w:cs="Arial"/>
          <w:b/>
        </w:rPr>
        <w:t xml:space="preserve"> </w:t>
      </w:r>
      <w:r w:rsidRPr="000635A2">
        <w:rPr>
          <w:rFonts w:ascii="Arial" w:hAnsi="Arial" w:cs="Arial"/>
        </w:rPr>
        <w:t>Na conta</w:t>
      </w:r>
      <w:r w:rsidRPr="000635A2">
        <w:rPr>
          <w:rFonts w:ascii="Arial" w:hAnsi="Arial" w:cs="Arial"/>
          <w:b/>
        </w:rPr>
        <w:t xml:space="preserve"> </w:t>
      </w:r>
      <w:r w:rsidRPr="000635A2">
        <w:rPr>
          <w:rFonts w:ascii="Arial" w:hAnsi="Arial" w:cs="Arial"/>
          <w:u w:val="single"/>
        </w:rPr>
        <w:t>Receita Líquidas de  Serviços,</w:t>
      </w:r>
      <w:r w:rsidRPr="000635A2">
        <w:rPr>
          <w:rFonts w:ascii="Arial" w:hAnsi="Arial" w:cs="Arial"/>
        </w:rPr>
        <w:t xml:space="preserve"> verifica-se que os números que compõem a Demonstração de Resultado, exercício findo em 2017, houve um incremento no percentual de 53,55% na Receita Líquidas de Serviços, em relação a 2016, no exercício de  2016 (R$ 4.053.123,12), passando em 2017 (R$ 6.261.905,54).  </w:t>
      </w:r>
    </w:p>
    <w:p w:rsidR="00E74341" w:rsidRDefault="00E74341" w:rsidP="000E406F">
      <w:pPr>
        <w:spacing w:after="0"/>
        <w:jc w:val="both"/>
        <w:rPr>
          <w:rFonts w:ascii="Arial" w:hAnsi="Arial" w:cs="Arial"/>
        </w:rPr>
      </w:pPr>
    </w:p>
    <w:p w:rsidR="004E49DD" w:rsidRDefault="004E49DD" w:rsidP="000E406F">
      <w:pPr>
        <w:spacing w:after="0"/>
        <w:jc w:val="both"/>
        <w:rPr>
          <w:rFonts w:ascii="Arial" w:hAnsi="Arial" w:cs="Arial"/>
        </w:rPr>
      </w:pPr>
    </w:p>
    <w:p w:rsidR="004E49DD" w:rsidRDefault="004E49DD" w:rsidP="000E406F">
      <w:pPr>
        <w:spacing w:after="0"/>
        <w:jc w:val="both"/>
        <w:rPr>
          <w:rFonts w:ascii="Arial" w:hAnsi="Arial" w:cs="Arial"/>
        </w:rPr>
      </w:pPr>
    </w:p>
    <w:p w:rsidR="004E49DD" w:rsidRPr="000635A2" w:rsidRDefault="004E49DD" w:rsidP="000E406F">
      <w:pPr>
        <w:spacing w:after="0"/>
        <w:jc w:val="both"/>
        <w:rPr>
          <w:rFonts w:ascii="Arial" w:hAnsi="Arial" w:cs="Arial"/>
        </w:rPr>
      </w:pPr>
    </w:p>
    <w:p w:rsidR="0021596E" w:rsidRPr="000635A2" w:rsidRDefault="0021596E" w:rsidP="000E406F">
      <w:pPr>
        <w:spacing w:after="0"/>
        <w:jc w:val="both"/>
        <w:rPr>
          <w:rFonts w:ascii="Arial" w:hAnsi="Arial" w:cs="Arial"/>
          <w:b/>
          <w:u w:val="single"/>
        </w:rPr>
      </w:pPr>
      <w:r w:rsidRPr="000635A2">
        <w:rPr>
          <w:rFonts w:ascii="Arial" w:hAnsi="Arial" w:cs="Arial"/>
          <w:b/>
          <w:u w:val="single"/>
        </w:rPr>
        <w:lastRenderedPageBreak/>
        <w:t>6. CONCLUSÃO</w:t>
      </w:r>
    </w:p>
    <w:p w:rsidR="000A0CF8" w:rsidRPr="000635A2" w:rsidRDefault="000A0CF8" w:rsidP="000E406F">
      <w:pPr>
        <w:pStyle w:val="SemEspaamento"/>
        <w:spacing w:line="276" w:lineRule="auto"/>
        <w:jc w:val="both"/>
        <w:rPr>
          <w:rFonts w:ascii="Arial" w:hAnsi="Arial" w:cs="Arial"/>
          <w:highlight w:val="yellow"/>
        </w:rPr>
      </w:pPr>
    </w:p>
    <w:p w:rsidR="002623F7" w:rsidRPr="000635A2" w:rsidRDefault="002623F7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O exame </w:t>
      </w:r>
      <w:r w:rsidRPr="000635A2">
        <w:rPr>
          <w:rFonts w:ascii="Arial" w:hAnsi="Arial" w:cs="Arial"/>
          <w:lang w:eastAsia="pt-BR"/>
        </w:rPr>
        <w:t>procedido por esta Controladoria Geral do Estado</w:t>
      </w:r>
      <w:r w:rsidRPr="000635A2">
        <w:rPr>
          <w:rFonts w:ascii="Arial" w:hAnsi="Arial" w:cs="Arial"/>
        </w:rPr>
        <w:t xml:space="preserve"> é sob o ponto de vista estritamente técnico e legal, com base nas Demonstrações Contábeis, documentos e informações que compõem a Prestação de Contas, referente ao exercício financeiro de 2017, elaborada pela</w:t>
      </w:r>
      <w:r w:rsidR="00334DF9" w:rsidRPr="000635A2">
        <w:rPr>
          <w:rFonts w:ascii="Arial" w:hAnsi="Arial" w:cs="Arial"/>
        </w:rPr>
        <w:t xml:space="preserve"> </w:t>
      </w:r>
      <w:r w:rsidR="00BD5242" w:rsidRPr="000635A2">
        <w:rPr>
          <w:rFonts w:ascii="Arial" w:hAnsi="Arial" w:cs="Arial"/>
        </w:rPr>
        <w:t>CEPAL</w:t>
      </w:r>
      <w:r w:rsidR="00D4074C" w:rsidRPr="000635A2">
        <w:rPr>
          <w:rFonts w:ascii="Arial" w:hAnsi="Arial" w:cs="Arial"/>
        </w:rPr>
        <w:t xml:space="preserve"> </w:t>
      </w:r>
      <w:r w:rsidRPr="000635A2">
        <w:rPr>
          <w:rFonts w:ascii="Arial" w:hAnsi="Arial" w:cs="Arial"/>
        </w:rPr>
        <w:t xml:space="preserve">e encaminhada a esta Controladoria Geral do Estado, para análise e parecer, em cumprimento da Resolução Normativa nº 01/2016 do TCE/AL. </w:t>
      </w:r>
    </w:p>
    <w:p w:rsidR="008727E0" w:rsidRPr="000635A2" w:rsidRDefault="008727E0" w:rsidP="000E406F">
      <w:pPr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Após análise com base no Balanço Patrimonial, Demonstrações de Resultado</w:t>
      </w:r>
      <w:r w:rsidRPr="000635A2">
        <w:rPr>
          <w:rFonts w:ascii="Arial" w:hAnsi="Arial" w:cs="Arial"/>
          <w:lang w:eastAsia="pt-BR"/>
        </w:rPr>
        <w:t xml:space="preserve"> </w:t>
      </w:r>
      <w:r w:rsidRPr="000635A2">
        <w:rPr>
          <w:rFonts w:ascii="Arial" w:hAnsi="Arial" w:cs="Arial"/>
        </w:rPr>
        <w:t>da situação Contábil/Econômico/Financeira da CEPAL</w:t>
      </w:r>
      <w:r w:rsidRPr="000635A2">
        <w:rPr>
          <w:rFonts w:ascii="Arial" w:hAnsi="Arial" w:cs="Arial"/>
          <w:lang w:eastAsia="pt-BR"/>
        </w:rPr>
        <w:t xml:space="preserve"> e fato corroborado, que demonstram</w:t>
      </w:r>
      <w:r w:rsidRPr="000635A2">
        <w:rPr>
          <w:rFonts w:ascii="Arial" w:hAnsi="Arial" w:cs="Arial"/>
          <w:shd w:val="clear" w:color="auto" w:fill="FFFFFF"/>
        </w:rPr>
        <w:t xml:space="preserve"> que </w:t>
      </w:r>
      <w:r w:rsidRPr="000635A2">
        <w:rPr>
          <w:rFonts w:ascii="Arial" w:hAnsi="Arial" w:cs="Arial"/>
          <w:lang w:eastAsia="pt-BR"/>
        </w:rPr>
        <w:t xml:space="preserve">exercício findo em 31 de dezembro de </w:t>
      </w:r>
      <w:r w:rsidRPr="000635A2">
        <w:rPr>
          <w:rFonts w:ascii="Arial" w:hAnsi="Arial" w:cs="Arial"/>
          <w:shd w:val="clear" w:color="auto" w:fill="FFFFFF"/>
        </w:rPr>
        <w:t>2017, apesar uma expectativa de</w:t>
      </w:r>
      <w:r w:rsidRPr="000635A2">
        <w:rPr>
          <w:rStyle w:val="apple-converted-space"/>
          <w:rFonts w:ascii="Arial" w:hAnsi="Arial" w:cs="Arial"/>
          <w:shd w:val="clear" w:color="auto" w:fill="FFFFFF"/>
        </w:rPr>
        <w:t> LUCRO</w:t>
      </w:r>
      <w:r w:rsidRPr="000635A2">
        <w:rPr>
          <w:rFonts w:ascii="Arial" w:hAnsi="Arial" w:cs="Arial"/>
        </w:rPr>
        <w:t xml:space="preserve"> no valor de R$ 105,323 mil, por conseguinte apresentou </w:t>
      </w:r>
      <w:r w:rsidRPr="000635A2">
        <w:rPr>
          <w:rFonts w:ascii="Arial" w:hAnsi="Arial" w:cs="Arial"/>
          <w:u w:val="single"/>
        </w:rPr>
        <w:t>Prejuízos Acumulado</w:t>
      </w:r>
      <w:r w:rsidRPr="000635A2">
        <w:rPr>
          <w:rFonts w:ascii="Arial" w:hAnsi="Arial" w:cs="Arial"/>
        </w:rPr>
        <w:t xml:space="preserve">, apurados no valor de R$917.476 mil. No exercício de 2016, a companhia também apresentou uma situação  </w:t>
      </w:r>
      <w:r w:rsidRPr="000635A2">
        <w:rPr>
          <w:rFonts w:ascii="Arial" w:hAnsi="Arial" w:cs="Arial"/>
          <w:u w:val="single"/>
        </w:rPr>
        <w:t>Lucro Líquido Negativo</w:t>
      </w:r>
      <w:r w:rsidRPr="000635A2">
        <w:rPr>
          <w:rFonts w:ascii="Arial" w:hAnsi="Arial" w:cs="Arial"/>
        </w:rPr>
        <w:t xml:space="preserve"> (Prejuízo) no valor R$917.476 mil</w:t>
      </w:r>
      <w:r w:rsidR="005D7597" w:rsidRPr="000635A2">
        <w:rPr>
          <w:rFonts w:ascii="Arial" w:hAnsi="Arial" w:cs="Arial"/>
          <w:shd w:val="clear" w:color="auto" w:fill="FFFFFF"/>
        </w:rPr>
        <w:t xml:space="preserve">. Sendo assim,  </w:t>
      </w:r>
      <w:r w:rsidRPr="000635A2">
        <w:rPr>
          <w:rFonts w:ascii="Arial" w:hAnsi="Arial" w:cs="Arial"/>
          <w:shd w:val="clear" w:color="auto" w:fill="FFFFFF"/>
        </w:rPr>
        <w:t>necessário</w:t>
      </w:r>
      <w:r w:rsidR="005D7597" w:rsidRPr="000635A2">
        <w:rPr>
          <w:rFonts w:ascii="Arial" w:hAnsi="Arial" w:cs="Arial"/>
          <w:shd w:val="clear" w:color="auto" w:fill="FFFFFF"/>
        </w:rPr>
        <w:t xml:space="preserve"> a CEPAL</w:t>
      </w:r>
      <w:r w:rsidRPr="000635A2">
        <w:rPr>
          <w:rFonts w:ascii="Arial" w:hAnsi="Arial" w:cs="Arial"/>
          <w:shd w:val="clear" w:color="auto" w:fill="FFFFFF"/>
        </w:rPr>
        <w:t xml:space="preserve"> </w:t>
      </w:r>
      <w:r w:rsidRPr="000635A2">
        <w:rPr>
          <w:rFonts w:ascii="Arial" w:hAnsi="Arial" w:cs="Arial"/>
          <w:lang w:eastAsia="pt-BR"/>
        </w:rPr>
        <w:t>manter esforços no sentido de garantir o equilíbrio  f</w:t>
      </w:r>
      <w:r w:rsidR="005D7597" w:rsidRPr="000635A2">
        <w:rPr>
          <w:rFonts w:ascii="Arial" w:hAnsi="Arial" w:cs="Arial"/>
          <w:lang w:eastAsia="pt-BR"/>
        </w:rPr>
        <w:t>inanceiro.</w:t>
      </w:r>
    </w:p>
    <w:p w:rsidR="008727E0" w:rsidRPr="000635A2" w:rsidRDefault="008727E0" w:rsidP="000E406F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635A2">
        <w:rPr>
          <w:rFonts w:ascii="Arial" w:hAnsi="Arial" w:cs="Arial"/>
          <w:lang w:eastAsia="pt-BR"/>
        </w:rPr>
        <w:t>Acrescentando, quanto ao saldo da rubrica “</w:t>
      </w:r>
      <w:r w:rsidRPr="000635A2">
        <w:rPr>
          <w:rFonts w:ascii="Arial" w:hAnsi="Arial" w:cs="Arial"/>
          <w:u w:val="single"/>
          <w:lang w:eastAsia="pt-BR"/>
        </w:rPr>
        <w:t>Duplicatas a Receber</w:t>
      </w:r>
      <w:r w:rsidRPr="000635A2">
        <w:rPr>
          <w:rFonts w:ascii="Arial" w:hAnsi="Arial" w:cs="Arial"/>
          <w:lang w:eastAsia="pt-BR"/>
        </w:rPr>
        <w:t>”, verifica-se que a companhia deve empreender esforços no sentido de institucionalizar uma cobrança efetiva as empresas e aos órgãos públicos que estão inadimplentes</w:t>
      </w:r>
      <w:r w:rsidR="00DD515E" w:rsidRPr="000635A2">
        <w:rPr>
          <w:rFonts w:ascii="Arial" w:hAnsi="Arial" w:cs="Arial"/>
          <w:lang w:eastAsia="pt-BR"/>
        </w:rPr>
        <w:t>.</w:t>
      </w:r>
    </w:p>
    <w:p w:rsidR="008727E0" w:rsidRPr="000635A2" w:rsidRDefault="008727E0" w:rsidP="000E406F">
      <w:pPr>
        <w:tabs>
          <w:tab w:val="left" w:pos="3402"/>
        </w:tabs>
        <w:spacing w:after="0"/>
        <w:ind w:firstLine="709"/>
        <w:jc w:val="both"/>
        <w:rPr>
          <w:rFonts w:ascii="Arial" w:hAnsi="Arial" w:cs="Arial"/>
          <w:b/>
        </w:rPr>
      </w:pPr>
      <w:r w:rsidRPr="000635A2">
        <w:rPr>
          <w:rFonts w:ascii="Arial" w:hAnsi="Arial" w:cs="Arial"/>
        </w:rPr>
        <w:t>Ante o exposto, conclui-se que as demonstrações contábeis analisadas foram elaboradas em conformidade com as Normas Brasileiras de Contabilidade, aplicadas ao Setor Público, e representam adequadamente a situação econômica e financeira da companhia CEPAL</w:t>
      </w:r>
      <w:r w:rsidRPr="000635A2">
        <w:rPr>
          <w:rFonts w:ascii="Arial" w:hAnsi="Arial" w:cs="Arial"/>
          <w:b/>
        </w:rPr>
        <w:t xml:space="preserve">, </w:t>
      </w:r>
      <w:r w:rsidRPr="000635A2">
        <w:rPr>
          <w:rFonts w:ascii="Arial" w:hAnsi="Arial" w:cs="Arial"/>
        </w:rPr>
        <w:t xml:space="preserve">em 31 de dezembro de 2017, </w:t>
      </w:r>
      <w:r w:rsidRPr="000635A2">
        <w:rPr>
          <w:rFonts w:ascii="Arial" w:hAnsi="Arial" w:cs="Arial"/>
          <w:u w:val="single"/>
        </w:rPr>
        <w:t>“</w:t>
      </w:r>
      <w:r w:rsidRPr="000635A2">
        <w:rPr>
          <w:rFonts w:ascii="Arial" w:hAnsi="Arial" w:cs="Arial"/>
          <w:i/>
          <w:u w:val="single"/>
        </w:rPr>
        <w:t>exceto</w:t>
      </w:r>
      <w:r w:rsidRPr="000635A2">
        <w:rPr>
          <w:rFonts w:ascii="Arial" w:hAnsi="Arial" w:cs="Arial"/>
          <w:u w:val="single"/>
        </w:rPr>
        <w:t>”</w:t>
      </w:r>
      <w:r w:rsidRPr="000635A2">
        <w:rPr>
          <w:rFonts w:ascii="Arial" w:hAnsi="Arial" w:cs="Arial"/>
        </w:rPr>
        <w:t xml:space="preserve"> quanto aos reflexos de saldos anteriores, o resultado de suas operações, as mutações de seu patrimônio líquido e as origens e aplicações de seus recursos, referente são exercício findo naquela data. </w:t>
      </w:r>
    </w:p>
    <w:p w:rsidR="00E5693F" w:rsidRPr="000635A2" w:rsidRDefault="00280176" w:rsidP="000E406F">
      <w:pPr>
        <w:pStyle w:val="SemEspaamento"/>
        <w:spacing w:line="276" w:lineRule="auto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>Por fim</w:t>
      </w:r>
      <w:r w:rsidR="005647F8" w:rsidRPr="000635A2">
        <w:rPr>
          <w:rFonts w:ascii="Arial" w:hAnsi="Arial" w:cs="Arial"/>
        </w:rPr>
        <w:t>, solucionar a</w:t>
      </w:r>
      <w:r w:rsidR="00C81343">
        <w:rPr>
          <w:rFonts w:ascii="Arial" w:hAnsi="Arial" w:cs="Arial"/>
        </w:rPr>
        <w:t>s</w:t>
      </w:r>
      <w:r w:rsidR="005647F8" w:rsidRPr="000635A2">
        <w:rPr>
          <w:rFonts w:ascii="Arial" w:hAnsi="Arial" w:cs="Arial"/>
        </w:rPr>
        <w:t xml:space="preserve"> pendência</w:t>
      </w:r>
      <w:r w:rsidR="00C81343">
        <w:rPr>
          <w:rFonts w:ascii="Arial" w:hAnsi="Arial" w:cs="Arial"/>
        </w:rPr>
        <w:t>s</w:t>
      </w:r>
      <w:r w:rsidR="005647F8" w:rsidRPr="000635A2">
        <w:rPr>
          <w:rFonts w:ascii="Arial" w:hAnsi="Arial" w:cs="Arial"/>
        </w:rPr>
        <w:t xml:space="preserve"> apontada</w:t>
      </w:r>
      <w:r w:rsidR="00C81343">
        <w:rPr>
          <w:rFonts w:ascii="Arial" w:hAnsi="Arial" w:cs="Arial"/>
        </w:rPr>
        <w:t>s</w:t>
      </w:r>
      <w:r w:rsidR="005647F8" w:rsidRPr="000635A2">
        <w:rPr>
          <w:rFonts w:ascii="Arial" w:hAnsi="Arial" w:cs="Arial"/>
        </w:rPr>
        <w:t xml:space="preserve"> </w:t>
      </w:r>
      <w:r w:rsidR="00FA3A25">
        <w:rPr>
          <w:rFonts w:ascii="Arial" w:hAnsi="Arial" w:cs="Arial"/>
        </w:rPr>
        <w:t>neste Parecer</w:t>
      </w:r>
      <w:r w:rsidR="00224AE2" w:rsidRPr="000635A2">
        <w:rPr>
          <w:rFonts w:ascii="Arial" w:hAnsi="Arial" w:cs="Arial"/>
        </w:rPr>
        <w:t xml:space="preserve">, </w:t>
      </w:r>
      <w:r w:rsidR="005647F8" w:rsidRPr="000635A2">
        <w:rPr>
          <w:rFonts w:ascii="Arial" w:hAnsi="Arial" w:cs="Arial"/>
        </w:rPr>
        <w:t xml:space="preserve">no tópico  </w:t>
      </w:r>
      <w:r w:rsidR="005647F8" w:rsidRPr="000E0C6B">
        <w:rPr>
          <w:rFonts w:ascii="Arial" w:hAnsi="Arial" w:cs="Arial"/>
          <w:b/>
        </w:rPr>
        <w:t xml:space="preserve">4 –  </w:t>
      </w:r>
      <w:r w:rsidR="005647F8" w:rsidRPr="000E0C6B">
        <w:rPr>
          <w:rFonts w:ascii="Arial" w:hAnsi="Arial" w:cs="Arial"/>
          <w:b/>
          <w:bCs/>
        </w:rPr>
        <w:t xml:space="preserve">Análise </w:t>
      </w:r>
      <w:r w:rsidR="005647F8" w:rsidRPr="000E0C6B">
        <w:rPr>
          <w:rFonts w:ascii="Arial" w:hAnsi="Arial" w:cs="Arial"/>
          <w:b/>
        </w:rPr>
        <w:t>Dos Autos</w:t>
      </w:r>
      <w:r w:rsidR="00224AE2" w:rsidRPr="000E0C6B">
        <w:rPr>
          <w:rFonts w:ascii="Arial" w:hAnsi="Arial" w:cs="Arial"/>
          <w:b/>
        </w:rPr>
        <w:t>:</w:t>
      </w:r>
      <w:r w:rsidR="00224AE2" w:rsidRPr="000635A2">
        <w:rPr>
          <w:rFonts w:ascii="Arial" w:hAnsi="Arial" w:cs="Arial"/>
        </w:rPr>
        <w:t xml:space="preserve"> </w:t>
      </w:r>
      <w:r w:rsidR="005647F8" w:rsidRPr="000635A2">
        <w:rPr>
          <w:rFonts w:ascii="Arial" w:hAnsi="Arial" w:cs="Arial"/>
        </w:rPr>
        <w:t xml:space="preserve">Item 10 </w:t>
      </w:r>
      <w:r w:rsidR="000E0C6B">
        <w:rPr>
          <w:rFonts w:ascii="Arial" w:hAnsi="Arial" w:cs="Arial"/>
        </w:rPr>
        <w:t xml:space="preserve">- </w:t>
      </w:r>
      <w:r w:rsidR="005647F8" w:rsidRPr="000635A2">
        <w:rPr>
          <w:rFonts w:ascii="Arial" w:hAnsi="Arial" w:cs="Arial"/>
        </w:rPr>
        <w:t xml:space="preserve">alínea “j”,  Item 11 </w:t>
      </w:r>
      <w:r w:rsidR="000E0C6B">
        <w:rPr>
          <w:rFonts w:ascii="Arial" w:hAnsi="Arial" w:cs="Arial"/>
        </w:rPr>
        <w:t xml:space="preserve">- </w:t>
      </w:r>
      <w:r w:rsidR="005647F8" w:rsidRPr="000635A2">
        <w:rPr>
          <w:rFonts w:ascii="Arial" w:hAnsi="Arial" w:cs="Arial"/>
        </w:rPr>
        <w:t xml:space="preserve">alínea “k”; Item 12 </w:t>
      </w:r>
      <w:r w:rsidR="000E0C6B">
        <w:rPr>
          <w:rFonts w:ascii="Arial" w:hAnsi="Arial" w:cs="Arial"/>
        </w:rPr>
        <w:t>-</w:t>
      </w:r>
      <w:r w:rsidR="005647F8" w:rsidRPr="000635A2">
        <w:rPr>
          <w:rFonts w:ascii="Arial" w:hAnsi="Arial" w:cs="Arial"/>
        </w:rPr>
        <w:t xml:space="preserve"> alínea “ l” e “m”; </w:t>
      </w:r>
      <w:r w:rsidR="00224AE2" w:rsidRPr="000635A2">
        <w:rPr>
          <w:rFonts w:ascii="Arial" w:hAnsi="Arial" w:cs="Arial"/>
        </w:rPr>
        <w:t xml:space="preserve"> </w:t>
      </w:r>
      <w:r w:rsidR="005647F8" w:rsidRPr="000635A2">
        <w:rPr>
          <w:rFonts w:ascii="Arial" w:hAnsi="Arial" w:cs="Arial"/>
        </w:rPr>
        <w:t xml:space="preserve">Item 13 </w:t>
      </w:r>
      <w:r w:rsidR="000E0C6B">
        <w:rPr>
          <w:rFonts w:ascii="Arial" w:hAnsi="Arial" w:cs="Arial"/>
        </w:rPr>
        <w:t>-</w:t>
      </w:r>
      <w:r w:rsidR="005647F8" w:rsidRPr="000635A2">
        <w:rPr>
          <w:rFonts w:ascii="Arial" w:hAnsi="Arial" w:cs="Arial"/>
        </w:rPr>
        <w:t xml:space="preserve"> alínea “n”; </w:t>
      </w:r>
      <w:r w:rsidR="00224AE2" w:rsidRPr="000635A2">
        <w:rPr>
          <w:rFonts w:ascii="Arial" w:hAnsi="Arial" w:cs="Arial"/>
        </w:rPr>
        <w:t xml:space="preserve"> </w:t>
      </w:r>
      <w:r w:rsidR="005647F8" w:rsidRPr="000635A2">
        <w:rPr>
          <w:rFonts w:ascii="Arial" w:hAnsi="Arial" w:cs="Arial"/>
        </w:rPr>
        <w:t>Item 17</w:t>
      </w:r>
      <w:r w:rsidR="000E0C6B">
        <w:rPr>
          <w:rFonts w:ascii="Arial" w:hAnsi="Arial" w:cs="Arial"/>
        </w:rPr>
        <w:t xml:space="preserve"> -</w:t>
      </w:r>
      <w:r w:rsidR="005647F8" w:rsidRPr="000635A2">
        <w:rPr>
          <w:rFonts w:ascii="Arial" w:hAnsi="Arial" w:cs="Arial"/>
        </w:rPr>
        <w:t xml:space="preserve"> alínea “r”; </w:t>
      </w:r>
      <w:r w:rsidR="00224AE2" w:rsidRPr="000635A2">
        <w:rPr>
          <w:rFonts w:ascii="Arial" w:hAnsi="Arial" w:cs="Arial"/>
        </w:rPr>
        <w:t xml:space="preserve"> </w:t>
      </w:r>
      <w:r w:rsidR="005647F8" w:rsidRPr="000635A2">
        <w:rPr>
          <w:rFonts w:ascii="Arial" w:hAnsi="Arial" w:cs="Arial"/>
        </w:rPr>
        <w:t>Item 18</w:t>
      </w:r>
      <w:r w:rsidR="000E0C6B">
        <w:rPr>
          <w:rFonts w:ascii="Arial" w:hAnsi="Arial" w:cs="Arial"/>
        </w:rPr>
        <w:t xml:space="preserve"> -</w:t>
      </w:r>
      <w:r w:rsidR="005647F8" w:rsidRPr="000635A2">
        <w:rPr>
          <w:rFonts w:ascii="Arial" w:hAnsi="Arial" w:cs="Arial"/>
        </w:rPr>
        <w:t xml:space="preserve"> alínea “s”;</w:t>
      </w:r>
      <w:r w:rsidR="00224AE2" w:rsidRPr="000635A2">
        <w:rPr>
          <w:rFonts w:ascii="Arial" w:hAnsi="Arial" w:cs="Arial"/>
        </w:rPr>
        <w:t xml:space="preserve"> </w:t>
      </w:r>
      <w:r w:rsidR="005647F8" w:rsidRPr="000635A2">
        <w:rPr>
          <w:rFonts w:ascii="Arial" w:hAnsi="Arial" w:cs="Arial"/>
        </w:rPr>
        <w:t xml:space="preserve"> Item 20 </w:t>
      </w:r>
      <w:r w:rsidR="000E0C6B">
        <w:rPr>
          <w:rFonts w:ascii="Arial" w:hAnsi="Arial" w:cs="Arial"/>
        </w:rPr>
        <w:t>-</w:t>
      </w:r>
      <w:r w:rsidR="005647F8" w:rsidRPr="000635A2">
        <w:rPr>
          <w:rFonts w:ascii="Arial" w:hAnsi="Arial" w:cs="Arial"/>
        </w:rPr>
        <w:t xml:space="preserve"> alínea “u</w:t>
      </w:r>
      <w:r w:rsidR="00F75087" w:rsidRPr="000635A2">
        <w:rPr>
          <w:rFonts w:ascii="Arial" w:hAnsi="Arial" w:cs="Arial"/>
        </w:rPr>
        <w:t>” e</w:t>
      </w:r>
      <w:r w:rsidR="00224AE2" w:rsidRPr="000635A2">
        <w:rPr>
          <w:rFonts w:ascii="Arial" w:hAnsi="Arial" w:cs="Arial"/>
        </w:rPr>
        <w:t xml:space="preserve"> </w:t>
      </w:r>
      <w:r w:rsidR="000E0C6B">
        <w:rPr>
          <w:rFonts w:ascii="Arial" w:hAnsi="Arial" w:cs="Arial"/>
        </w:rPr>
        <w:t xml:space="preserve"> o </w:t>
      </w:r>
      <w:r w:rsidR="005647F8" w:rsidRPr="000635A2">
        <w:rPr>
          <w:rFonts w:ascii="Arial" w:hAnsi="Arial" w:cs="Arial"/>
        </w:rPr>
        <w:t>Item 22</w:t>
      </w:r>
      <w:r w:rsidR="000E0C6B">
        <w:rPr>
          <w:rFonts w:ascii="Arial" w:hAnsi="Arial" w:cs="Arial"/>
        </w:rPr>
        <w:t xml:space="preserve"> </w:t>
      </w:r>
      <w:r w:rsidR="005647F8" w:rsidRPr="000635A2">
        <w:rPr>
          <w:rFonts w:ascii="Arial" w:hAnsi="Arial" w:cs="Arial"/>
        </w:rPr>
        <w:t>- alínea “v</w:t>
      </w:r>
      <w:r w:rsidR="00E5693F" w:rsidRPr="000635A2">
        <w:rPr>
          <w:rFonts w:ascii="Arial" w:hAnsi="Arial" w:cs="Arial"/>
        </w:rPr>
        <w:t xml:space="preserve">”. </w:t>
      </w:r>
    </w:p>
    <w:p w:rsidR="000E0C6B" w:rsidRDefault="000E0C6B" w:rsidP="000E406F">
      <w:pPr>
        <w:pStyle w:val="SemEspaamento"/>
        <w:spacing w:line="276" w:lineRule="auto"/>
        <w:ind w:firstLine="709"/>
        <w:jc w:val="both"/>
        <w:rPr>
          <w:rFonts w:ascii="Arial" w:hAnsi="Arial" w:cs="Arial"/>
        </w:rPr>
      </w:pPr>
    </w:p>
    <w:p w:rsidR="00C81343" w:rsidRDefault="00FA3A25" w:rsidP="000E406F">
      <w:pPr>
        <w:pStyle w:val="SemEspaamento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Uma vez cumprida</w:t>
      </w:r>
      <w:r w:rsidR="00C8134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as diligê</w:t>
      </w:r>
      <w:r w:rsidR="00E5693F" w:rsidRPr="000635A2">
        <w:rPr>
          <w:rFonts w:ascii="Arial" w:hAnsi="Arial" w:cs="Arial"/>
        </w:rPr>
        <w:t>ncias determinada</w:t>
      </w:r>
      <w:r w:rsidR="00C81343">
        <w:rPr>
          <w:rFonts w:ascii="Arial" w:hAnsi="Arial" w:cs="Arial"/>
        </w:rPr>
        <w:t>s</w:t>
      </w:r>
      <w:r w:rsidR="00E5693F" w:rsidRPr="000635A2">
        <w:rPr>
          <w:rFonts w:ascii="Arial" w:hAnsi="Arial" w:cs="Arial"/>
        </w:rPr>
        <w:t xml:space="preserve"> no parágrafo anterior</w:t>
      </w:r>
      <w:r w:rsidR="005647F8" w:rsidRPr="000635A2">
        <w:rPr>
          <w:rFonts w:ascii="Arial" w:hAnsi="Arial" w:cs="Arial"/>
        </w:rPr>
        <w:t xml:space="preserve">, </w:t>
      </w:r>
      <w:r w:rsidR="00C81343">
        <w:rPr>
          <w:rFonts w:ascii="Arial" w:hAnsi="Arial" w:cs="Arial"/>
        </w:rPr>
        <w:t xml:space="preserve">os autos </w:t>
      </w:r>
      <w:r w:rsidR="00E5693F" w:rsidRPr="000635A2">
        <w:rPr>
          <w:rFonts w:ascii="Arial" w:hAnsi="Arial" w:cs="Arial"/>
        </w:rPr>
        <w:t>devem retor</w:t>
      </w:r>
      <w:r w:rsidR="00280176" w:rsidRPr="000635A2">
        <w:rPr>
          <w:rFonts w:ascii="Arial" w:hAnsi="Arial" w:cs="Arial"/>
        </w:rPr>
        <w:t>nar</w:t>
      </w:r>
      <w:r w:rsidR="00C81343">
        <w:rPr>
          <w:rFonts w:ascii="Arial" w:hAnsi="Arial" w:cs="Arial"/>
        </w:rPr>
        <w:t xml:space="preserve"> a esta Superintendência para parecer conclusivo.</w:t>
      </w:r>
    </w:p>
    <w:p w:rsidR="005647F8" w:rsidRPr="000635A2" w:rsidRDefault="005647F8" w:rsidP="000E406F">
      <w:pPr>
        <w:spacing w:after="0"/>
        <w:ind w:firstLine="709"/>
        <w:jc w:val="both"/>
        <w:rPr>
          <w:rFonts w:ascii="Arial" w:hAnsi="Arial" w:cs="Arial"/>
        </w:rPr>
      </w:pPr>
    </w:p>
    <w:p w:rsidR="005647F8" w:rsidRPr="000635A2" w:rsidRDefault="005647F8" w:rsidP="000E406F">
      <w:pPr>
        <w:tabs>
          <w:tab w:val="left" w:pos="709"/>
        </w:tabs>
        <w:spacing w:after="0"/>
        <w:ind w:firstLine="709"/>
        <w:jc w:val="both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Isto posto, evoluímos os autos ao Gabinete da Controladora Geral do Estado, para conhecimento e efetuar as medidas compatíveis, que o caso requer. </w:t>
      </w:r>
    </w:p>
    <w:p w:rsidR="00224AE2" w:rsidRPr="000635A2" w:rsidRDefault="00224AE2" w:rsidP="000E406F">
      <w:pPr>
        <w:spacing w:after="0"/>
        <w:jc w:val="center"/>
        <w:rPr>
          <w:rFonts w:ascii="Arial" w:hAnsi="Arial" w:cs="Arial"/>
        </w:rPr>
      </w:pPr>
    </w:p>
    <w:p w:rsidR="002623F7" w:rsidRPr="000635A2" w:rsidRDefault="002623F7" w:rsidP="000E406F">
      <w:pPr>
        <w:spacing w:after="0"/>
        <w:jc w:val="center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Maceió/AL, </w:t>
      </w:r>
      <w:r w:rsidR="00FE7F6C" w:rsidRPr="000635A2">
        <w:rPr>
          <w:rFonts w:ascii="Arial" w:hAnsi="Arial" w:cs="Arial"/>
        </w:rPr>
        <w:t xml:space="preserve"> </w:t>
      </w:r>
      <w:r w:rsidR="000635A2">
        <w:rPr>
          <w:rFonts w:ascii="Arial" w:hAnsi="Arial" w:cs="Arial"/>
        </w:rPr>
        <w:t>1</w:t>
      </w:r>
      <w:r w:rsidR="00FE7F6C" w:rsidRPr="000635A2">
        <w:rPr>
          <w:rFonts w:ascii="Arial" w:hAnsi="Arial" w:cs="Arial"/>
        </w:rPr>
        <w:t xml:space="preserve">7 de maio </w:t>
      </w:r>
      <w:r w:rsidRPr="000635A2">
        <w:rPr>
          <w:rFonts w:ascii="Arial" w:hAnsi="Arial" w:cs="Arial"/>
        </w:rPr>
        <w:t xml:space="preserve"> de 2018.</w:t>
      </w:r>
    </w:p>
    <w:p w:rsidR="002623F7" w:rsidRPr="000635A2" w:rsidRDefault="002623F7" w:rsidP="000E406F">
      <w:pPr>
        <w:spacing w:after="0"/>
        <w:contextualSpacing/>
        <w:rPr>
          <w:rFonts w:ascii="Arial" w:hAnsi="Arial" w:cs="Arial"/>
        </w:rPr>
      </w:pPr>
    </w:p>
    <w:p w:rsidR="002623F7" w:rsidRPr="000635A2" w:rsidRDefault="002623F7" w:rsidP="000E406F">
      <w:pPr>
        <w:spacing w:after="0"/>
        <w:contextualSpacing/>
        <w:jc w:val="center"/>
        <w:rPr>
          <w:rFonts w:ascii="Arial" w:hAnsi="Arial" w:cs="Arial"/>
        </w:rPr>
      </w:pPr>
    </w:p>
    <w:p w:rsidR="002623F7" w:rsidRPr="000635A2" w:rsidRDefault="002623F7" w:rsidP="000E406F">
      <w:pPr>
        <w:spacing w:after="0"/>
        <w:contextualSpacing/>
        <w:jc w:val="center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>ESMERALDINA CORREIA DA ROCHA</w:t>
      </w:r>
    </w:p>
    <w:p w:rsidR="002623F7" w:rsidRPr="000635A2" w:rsidRDefault="002623F7" w:rsidP="000E406F">
      <w:pPr>
        <w:spacing w:after="0"/>
        <w:contextualSpacing/>
        <w:jc w:val="center"/>
        <w:rPr>
          <w:rFonts w:ascii="Arial" w:hAnsi="Arial" w:cs="Arial"/>
        </w:rPr>
      </w:pPr>
      <w:r w:rsidRPr="000635A2">
        <w:rPr>
          <w:rFonts w:ascii="Arial" w:hAnsi="Arial" w:cs="Arial"/>
        </w:rPr>
        <w:t xml:space="preserve">Assessora de Controle Interno  </w:t>
      </w:r>
    </w:p>
    <w:p w:rsidR="002623F7" w:rsidRPr="000635A2" w:rsidRDefault="002623F7" w:rsidP="000E406F">
      <w:pPr>
        <w:spacing w:after="0"/>
        <w:contextualSpacing/>
        <w:jc w:val="center"/>
        <w:rPr>
          <w:rFonts w:ascii="Arial" w:hAnsi="Arial" w:cs="Arial"/>
        </w:rPr>
      </w:pPr>
      <w:r w:rsidRPr="000635A2">
        <w:rPr>
          <w:rFonts w:ascii="Arial" w:hAnsi="Arial" w:cs="Arial"/>
        </w:rPr>
        <w:t>CRC nº 3.509-O-9/AL</w:t>
      </w:r>
    </w:p>
    <w:p w:rsidR="002623F7" w:rsidRPr="000635A2" w:rsidRDefault="00C81343" w:rsidP="000E406F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23F7" w:rsidRPr="000635A2">
        <w:rPr>
          <w:rFonts w:ascii="Arial" w:hAnsi="Arial" w:cs="Arial"/>
        </w:rPr>
        <w:t xml:space="preserve">e acordo.          </w:t>
      </w:r>
    </w:p>
    <w:p w:rsidR="00CE23E0" w:rsidRPr="000635A2" w:rsidRDefault="00CE23E0" w:rsidP="000E406F">
      <w:pPr>
        <w:tabs>
          <w:tab w:val="left" w:pos="0"/>
        </w:tabs>
        <w:spacing w:after="0"/>
        <w:jc w:val="both"/>
        <w:rPr>
          <w:rFonts w:ascii="Arial" w:hAnsi="Arial" w:cs="Arial"/>
        </w:rPr>
      </w:pPr>
    </w:p>
    <w:p w:rsidR="002623F7" w:rsidRPr="000635A2" w:rsidRDefault="002623F7" w:rsidP="000E406F">
      <w:pPr>
        <w:pStyle w:val="SemEspaamento"/>
        <w:spacing w:line="276" w:lineRule="auto"/>
        <w:ind w:firstLine="851"/>
        <w:jc w:val="both"/>
        <w:rPr>
          <w:rFonts w:ascii="Arial" w:hAnsi="Arial" w:cs="Arial"/>
        </w:rPr>
      </w:pPr>
    </w:p>
    <w:p w:rsidR="002623F7" w:rsidRPr="000635A2" w:rsidRDefault="002623F7" w:rsidP="000E406F">
      <w:pPr>
        <w:spacing w:after="0"/>
        <w:contextualSpacing/>
        <w:jc w:val="center"/>
        <w:rPr>
          <w:rFonts w:ascii="Arial" w:hAnsi="Arial" w:cs="Arial"/>
          <w:b/>
        </w:rPr>
      </w:pPr>
      <w:r w:rsidRPr="000635A2">
        <w:rPr>
          <w:rFonts w:ascii="Arial" w:hAnsi="Arial" w:cs="Arial"/>
          <w:b/>
        </w:rPr>
        <w:t xml:space="preserve">FABRÍCIA COSTA SOARES </w:t>
      </w:r>
    </w:p>
    <w:p w:rsidR="002623F7" w:rsidRPr="000635A2" w:rsidRDefault="002623F7" w:rsidP="000E406F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0635A2">
        <w:rPr>
          <w:rFonts w:ascii="Arial" w:hAnsi="Arial" w:cs="Arial"/>
        </w:rPr>
        <w:t>Superintendente de Controle Financeiro – SUCOF</w:t>
      </w:r>
    </w:p>
    <w:p w:rsidR="00E806CB" w:rsidRPr="000635A2" w:rsidRDefault="004E49DD" w:rsidP="000E0C6B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Matrícula n</w:t>
      </w:r>
      <w:r w:rsidR="002623F7" w:rsidRPr="000635A2">
        <w:rPr>
          <w:rFonts w:ascii="Arial" w:hAnsi="Arial" w:cs="Arial"/>
        </w:rPr>
        <w:t>º 131-7</w:t>
      </w:r>
    </w:p>
    <w:sectPr w:rsidR="00E806CB" w:rsidRPr="000635A2" w:rsidSect="0010159B">
      <w:headerReference w:type="default" r:id="rId10"/>
      <w:pgSz w:w="11906" w:h="16838"/>
      <w:pgMar w:top="1809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D00" w:rsidRDefault="00873D00" w:rsidP="000C5B6B">
      <w:pPr>
        <w:spacing w:after="0" w:line="240" w:lineRule="auto"/>
      </w:pPr>
      <w:r>
        <w:separator/>
      </w:r>
    </w:p>
  </w:endnote>
  <w:endnote w:type="continuationSeparator" w:id="1">
    <w:p w:rsidR="00873D00" w:rsidRDefault="00873D00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D00" w:rsidRDefault="00873D00" w:rsidP="000C5B6B">
      <w:pPr>
        <w:spacing w:after="0" w:line="240" w:lineRule="auto"/>
      </w:pPr>
      <w:r>
        <w:separator/>
      </w:r>
    </w:p>
  </w:footnote>
  <w:footnote w:type="continuationSeparator" w:id="1">
    <w:p w:rsidR="00873D00" w:rsidRDefault="00873D00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0BB" w:rsidRDefault="000E0C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0.95pt;margin-top:-18.9pt;width:330pt;height:40.5pt;z-index:251662336;v-text-anchor:middle" filled="f" stroked="f">
          <v:textbox style="mso-next-textbox:#_x0000_s1027">
            <w:txbxContent>
              <w:p w:rsidR="004020BB" w:rsidRPr="0098367C" w:rsidRDefault="004020BB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0.95pt;margin-top:5.85pt;width:33pt;height:26.25pt;z-index:251661312" filled="f" stroked="f">
          <v:textbox style="mso-next-textbox:#_x0000_s1026">
            <w:txbxContent>
              <w:p w:rsidR="004020BB" w:rsidRPr="003068B9" w:rsidRDefault="004020BB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C217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F35AF9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B6B0D"/>
    <w:multiLevelType w:val="hybridMultilevel"/>
    <w:tmpl w:val="03509696"/>
    <w:lvl w:ilvl="0" w:tplc="8ED0621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45E"/>
    <w:multiLevelType w:val="hybridMultilevel"/>
    <w:tmpl w:val="185285CC"/>
    <w:lvl w:ilvl="0" w:tplc="AC34DA7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3D5D22"/>
    <w:multiLevelType w:val="multilevel"/>
    <w:tmpl w:val="BFEAE88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6F73E7D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0DB1C2D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7122"/>
    <w:multiLevelType w:val="hybridMultilevel"/>
    <w:tmpl w:val="E9D2D54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517FB"/>
    <w:multiLevelType w:val="hybridMultilevel"/>
    <w:tmpl w:val="407E8E0C"/>
    <w:lvl w:ilvl="0" w:tplc="4A1EDBF0">
      <w:start w:val="1"/>
      <w:numFmt w:val="lowerRoman"/>
      <w:lvlText w:val="(%1)"/>
      <w:lvlJc w:val="left"/>
      <w:pPr>
        <w:ind w:left="2138" w:hanging="72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F6C27"/>
    <w:multiLevelType w:val="multilevel"/>
    <w:tmpl w:val="D2CA3F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6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ACE3222"/>
    <w:multiLevelType w:val="hybridMultilevel"/>
    <w:tmpl w:val="33B04B3E"/>
    <w:lvl w:ilvl="0" w:tplc="03007176">
      <w:start w:val="10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149B1"/>
    <w:multiLevelType w:val="hybridMultilevel"/>
    <w:tmpl w:val="25FCBE88"/>
    <w:lvl w:ilvl="0" w:tplc="F672FDEE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F2B29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1600892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43E0EFA"/>
    <w:multiLevelType w:val="multilevel"/>
    <w:tmpl w:val="A27E62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66C2B5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9DA3A05"/>
    <w:multiLevelType w:val="hybridMultilevel"/>
    <w:tmpl w:val="285A8C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C7E93"/>
    <w:multiLevelType w:val="hybridMultilevel"/>
    <w:tmpl w:val="146CC17E"/>
    <w:lvl w:ilvl="0" w:tplc="9AA08F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2460E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5CD3029"/>
    <w:multiLevelType w:val="hybridMultilevel"/>
    <w:tmpl w:val="8140F0A8"/>
    <w:lvl w:ilvl="0" w:tplc="F132BA02">
      <w:start w:val="1"/>
      <w:numFmt w:val="lowerRoman"/>
      <w:lvlText w:val="(%1)"/>
      <w:lvlJc w:val="left"/>
      <w:pPr>
        <w:ind w:left="214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>
    <w:nsid w:val="6D23375B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1D36DC4"/>
    <w:multiLevelType w:val="hybridMultilevel"/>
    <w:tmpl w:val="4CC0E78A"/>
    <w:lvl w:ilvl="0" w:tplc="381CD1A2">
      <w:start w:val="1"/>
      <w:numFmt w:val="lowerLetter"/>
      <w:lvlText w:val="%1)"/>
      <w:lvlJc w:val="left"/>
      <w:pPr>
        <w:ind w:left="1429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FE3BD9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8A5357C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7C662B81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F7A4CD8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6"/>
  </w:num>
  <w:num w:numId="3">
    <w:abstractNumId w:val="32"/>
  </w:num>
  <w:num w:numId="4">
    <w:abstractNumId w:val="14"/>
  </w:num>
  <w:num w:numId="5">
    <w:abstractNumId w:val="34"/>
  </w:num>
  <w:num w:numId="6">
    <w:abstractNumId w:val="27"/>
  </w:num>
  <w:num w:numId="7">
    <w:abstractNumId w:val="12"/>
  </w:num>
  <w:num w:numId="8">
    <w:abstractNumId w:val="16"/>
  </w:num>
  <w:num w:numId="9">
    <w:abstractNumId w:val="19"/>
  </w:num>
  <w:num w:numId="10">
    <w:abstractNumId w:val="35"/>
  </w:num>
  <w:num w:numId="11">
    <w:abstractNumId w:val="36"/>
  </w:num>
  <w:num w:numId="12">
    <w:abstractNumId w:val="5"/>
  </w:num>
  <w:num w:numId="13">
    <w:abstractNumId w:val="18"/>
  </w:num>
  <w:num w:numId="14">
    <w:abstractNumId w:val="7"/>
  </w:num>
  <w:num w:numId="15">
    <w:abstractNumId w:val="10"/>
  </w:num>
  <w:num w:numId="16">
    <w:abstractNumId w:val="6"/>
  </w:num>
  <w:num w:numId="17">
    <w:abstractNumId w:val="4"/>
  </w:num>
  <w:num w:numId="18">
    <w:abstractNumId w:val="25"/>
  </w:num>
  <w:num w:numId="19">
    <w:abstractNumId w:val="0"/>
  </w:num>
  <w:num w:numId="20">
    <w:abstractNumId w:val="15"/>
  </w:num>
  <w:num w:numId="21">
    <w:abstractNumId w:val="3"/>
  </w:num>
  <w:num w:numId="22">
    <w:abstractNumId w:val="39"/>
  </w:num>
  <w:num w:numId="23">
    <w:abstractNumId w:val="28"/>
  </w:num>
  <w:num w:numId="24">
    <w:abstractNumId w:val="30"/>
  </w:num>
  <w:num w:numId="25">
    <w:abstractNumId w:val="38"/>
  </w:num>
  <w:num w:numId="26">
    <w:abstractNumId w:val="21"/>
  </w:num>
  <w:num w:numId="27">
    <w:abstractNumId w:val="24"/>
  </w:num>
  <w:num w:numId="28">
    <w:abstractNumId w:val="22"/>
  </w:num>
  <w:num w:numId="29">
    <w:abstractNumId w:val="33"/>
  </w:num>
  <w:num w:numId="30">
    <w:abstractNumId w:val="17"/>
  </w:num>
  <w:num w:numId="31">
    <w:abstractNumId w:val="8"/>
  </w:num>
  <w:num w:numId="32">
    <w:abstractNumId w:val="11"/>
  </w:num>
  <w:num w:numId="33">
    <w:abstractNumId w:val="23"/>
  </w:num>
  <w:num w:numId="34">
    <w:abstractNumId w:val="31"/>
  </w:num>
  <w:num w:numId="35">
    <w:abstractNumId w:val="13"/>
  </w:num>
  <w:num w:numId="36">
    <w:abstractNumId w:val="29"/>
  </w:num>
  <w:num w:numId="37">
    <w:abstractNumId w:val="20"/>
  </w:num>
  <w:num w:numId="38">
    <w:abstractNumId w:val="1"/>
  </w:num>
  <w:num w:numId="39">
    <w:abstractNumId w:val="37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01045"/>
    <w:rsid w:val="000015F5"/>
    <w:rsid w:val="00012D08"/>
    <w:rsid w:val="00016FA7"/>
    <w:rsid w:val="000205E1"/>
    <w:rsid w:val="000455EE"/>
    <w:rsid w:val="00050B83"/>
    <w:rsid w:val="00055230"/>
    <w:rsid w:val="00055EB4"/>
    <w:rsid w:val="00062A18"/>
    <w:rsid w:val="000635A2"/>
    <w:rsid w:val="00063C7E"/>
    <w:rsid w:val="000706C4"/>
    <w:rsid w:val="0007384B"/>
    <w:rsid w:val="00082675"/>
    <w:rsid w:val="00084535"/>
    <w:rsid w:val="00084934"/>
    <w:rsid w:val="000932BC"/>
    <w:rsid w:val="00094B4A"/>
    <w:rsid w:val="000A0CF8"/>
    <w:rsid w:val="000A26EB"/>
    <w:rsid w:val="000A2A58"/>
    <w:rsid w:val="000A437C"/>
    <w:rsid w:val="000A7090"/>
    <w:rsid w:val="000A7E1C"/>
    <w:rsid w:val="000C0F43"/>
    <w:rsid w:val="000C1CA1"/>
    <w:rsid w:val="000C23C1"/>
    <w:rsid w:val="000C32C8"/>
    <w:rsid w:val="000C5B6B"/>
    <w:rsid w:val="000C7002"/>
    <w:rsid w:val="000D0DB5"/>
    <w:rsid w:val="000E0AC6"/>
    <w:rsid w:val="000E0C6B"/>
    <w:rsid w:val="000E25B4"/>
    <w:rsid w:val="000E406F"/>
    <w:rsid w:val="000F0899"/>
    <w:rsid w:val="000F4FC7"/>
    <w:rsid w:val="000F6D89"/>
    <w:rsid w:val="000F7034"/>
    <w:rsid w:val="0010159B"/>
    <w:rsid w:val="00101F10"/>
    <w:rsid w:val="00106CE2"/>
    <w:rsid w:val="00112745"/>
    <w:rsid w:val="001139D4"/>
    <w:rsid w:val="00116EFC"/>
    <w:rsid w:val="00117308"/>
    <w:rsid w:val="00125B2E"/>
    <w:rsid w:val="0012605D"/>
    <w:rsid w:val="00127544"/>
    <w:rsid w:val="0013470F"/>
    <w:rsid w:val="00141281"/>
    <w:rsid w:val="00150EAC"/>
    <w:rsid w:val="001547BB"/>
    <w:rsid w:val="00160A2B"/>
    <w:rsid w:val="00167B66"/>
    <w:rsid w:val="00172B5E"/>
    <w:rsid w:val="00176375"/>
    <w:rsid w:val="00183412"/>
    <w:rsid w:val="00193411"/>
    <w:rsid w:val="001948B5"/>
    <w:rsid w:val="001A786B"/>
    <w:rsid w:val="001B182A"/>
    <w:rsid w:val="001B3D62"/>
    <w:rsid w:val="001C5570"/>
    <w:rsid w:val="001C6310"/>
    <w:rsid w:val="001C7E84"/>
    <w:rsid w:val="001D54DD"/>
    <w:rsid w:val="001E0B2B"/>
    <w:rsid w:val="001E79E4"/>
    <w:rsid w:val="001E7A16"/>
    <w:rsid w:val="001F4B12"/>
    <w:rsid w:val="00214AF0"/>
    <w:rsid w:val="0021596E"/>
    <w:rsid w:val="00215C63"/>
    <w:rsid w:val="002207A0"/>
    <w:rsid w:val="00224AE2"/>
    <w:rsid w:val="00224EA4"/>
    <w:rsid w:val="002255D6"/>
    <w:rsid w:val="002304E0"/>
    <w:rsid w:val="00241630"/>
    <w:rsid w:val="00241CEF"/>
    <w:rsid w:val="002437CF"/>
    <w:rsid w:val="00243ACE"/>
    <w:rsid w:val="0025256A"/>
    <w:rsid w:val="00254F8B"/>
    <w:rsid w:val="0025705D"/>
    <w:rsid w:val="002623F7"/>
    <w:rsid w:val="00264789"/>
    <w:rsid w:val="00265809"/>
    <w:rsid w:val="00277208"/>
    <w:rsid w:val="00280176"/>
    <w:rsid w:val="00292119"/>
    <w:rsid w:val="002A0E54"/>
    <w:rsid w:val="002A1C5A"/>
    <w:rsid w:val="002C00E1"/>
    <w:rsid w:val="002C6C13"/>
    <w:rsid w:val="002C6CA8"/>
    <w:rsid w:val="002D63F0"/>
    <w:rsid w:val="002D72AD"/>
    <w:rsid w:val="002D7D5B"/>
    <w:rsid w:val="002E01FA"/>
    <w:rsid w:val="002E033F"/>
    <w:rsid w:val="002E03DD"/>
    <w:rsid w:val="002E3259"/>
    <w:rsid w:val="002F1698"/>
    <w:rsid w:val="002F7613"/>
    <w:rsid w:val="00300C77"/>
    <w:rsid w:val="00300EAF"/>
    <w:rsid w:val="003026EF"/>
    <w:rsid w:val="00302D70"/>
    <w:rsid w:val="00305B85"/>
    <w:rsid w:val="003072D3"/>
    <w:rsid w:val="00313220"/>
    <w:rsid w:val="00313E25"/>
    <w:rsid w:val="00325692"/>
    <w:rsid w:val="00326DB1"/>
    <w:rsid w:val="003271C1"/>
    <w:rsid w:val="00327C99"/>
    <w:rsid w:val="00332E7E"/>
    <w:rsid w:val="00333522"/>
    <w:rsid w:val="00334DF9"/>
    <w:rsid w:val="003541AC"/>
    <w:rsid w:val="003550B0"/>
    <w:rsid w:val="0035595C"/>
    <w:rsid w:val="0035763D"/>
    <w:rsid w:val="00360897"/>
    <w:rsid w:val="00384E0A"/>
    <w:rsid w:val="00385988"/>
    <w:rsid w:val="00386CC3"/>
    <w:rsid w:val="00390D04"/>
    <w:rsid w:val="003922BD"/>
    <w:rsid w:val="00393922"/>
    <w:rsid w:val="003B1B59"/>
    <w:rsid w:val="003C42EE"/>
    <w:rsid w:val="003D71A5"/>
    <w:rsid w:val="003D7ABB"/>
    <w:rsid w:val="003E0BE7"/>
    <w:rsid w:val="003E30F0"/>
    <w:rsid w:val="003E5ED9"/>
    <w:rsid w:val="003F32EF"/>
    <w:rsid w:val="004020BB"/>
    <w:rsid w:val="00411685"/>
    <w:rsid w:val="00411D53"/>
    <w:rsid w:val="00421ADE"/>
    <w:rsid w:val="0042440F"/>
    <w:rsid w:val="00431F2E"/>
    <w:rsid w:val="00437E31"/>
    <w:rsid w:val="0045169A"/>
    <w:rsid w:val="00464C46"/>
    <w:rsid w:val="00466FE5"/>
    <w:rsid w:val="00477342"/>
    <w:rsid w:val="00477BD3"/>
    <w:rsid w:val="00487AC0"/>
    <w:rsid w:val="0049389A"/>
    <w:rsid w:val="0049444D"/>
    <w:rsid w:val="00495B46"/>
    <w:rsid w:val="00496090"/>
    <w:rsid w:val="004B1D29"/>
    <w:rsid w:val="004B2A72"/>
    <w:rsid w:val="004C7438"/>
    <w:rsid w:val="004D46E0"/>
    <w:rsid w:val="004D50D9"/>
    <w:rsid w:val="004D6039"/>
    <w:rsid w:val="004E49DD"/>
    <w:rsid w:val="004F3C2F"/>
    <w:rsid w:val="004F6B0A"/>
    <w:rsid w:val="00502CDD"/>
    <w:rsid w:val="00503FB5"/>
    <w:rsid w:val="00505B43"/>
    <w:rsid w:val="005069D7"/>
    <w:rsid w:val="00507B15"/>
    <w:rsid w:val="00516FA4"/>
    <w:rsid w:val="0051700B"/>
    <w:rsid w:val="00523018"/>
    <w:rsid w:val="0054499C"/>
    <w:rsid w:val="00553F15"/>
    <w:rsid w:val="00556EF9"/>
    <w:rsid w:val="00560ED3"/>
    <w:rsid w:val="00564692"/>
    <w:rsid w:val="005647F8"/>
    <w:rsid w:val="00567E17"/>
    <w:rsid w:val="00570B15"/>
    <w:rsid w:val="00573E58"/>
    <w:rsid w:val="00580F4A"/>
    <w:rsid w:val="005829C1"/>
    <w:rsid w:val="005911F9"/>
    <w:rsid w:val="00596129"/>
    <w:rsid w:val="005B4128"/>
    <w:rsid w:val="005C0DDA"/>
    <w:rsid w:val="005C3569"/>
    <w:rsid w:val="005D23A5"/>
    <w:rsid w:val="005D6CD1"/>
    <w:rsid w:val="005D6DAF"/>
    <w:rsid w:val="005D7597"/>
    <w:rsid w:val="005E2DB0"/>
    <w:rsid w:val="005E4936"/>
    <w:rsid w:val="005E582E"/>
    <w:rsid w:val="005F1C9D"/>
    <w:rsid w:val="005F52DA"/>
    <w:rsid w:val="005F7D20"/>
    <w:rsid w:val="00602C47"/>
    <w:rsid w:val="00602CA2"/>
    <w:rsid w:val="00623153"/>
    <w:rsid w:val="0062315D"/>
    <w:rsid w:val="00625ED1"/>
    <w:rsid w:val="006268FC"/>
    <w:rsid w:val="00631212"/>
    <w:rsid w:val="006342C8"/>
    <w:rsid w:val="00644B49"/>
    <w:rsid w:val="00644DAE"/>
    <w:rsid w:val="00650F39"/>
    <w:rsid w:val="00652973"/>
    <w:rsid w:val="006533BE"/>
    <w:rsid w:val="00654AA2"/>
    <w:rsid w:val="006577F5"/>
    <w:rsid w:val="00660A94"/>
    <w:rsid w:val="00665386"/>
    <w:rsid w:val="0066632D"/>
    <w:rsid w:val="006807FB"/>
    <w:rsid w:val="00680825"/>
    <w:rsid w:val="0069392B"/>
    <w:rsid w:val="00694FB2"/>
    <w:rsid w:val="00695E33"/>
    <w:rsid w:val="006A5C29"/>
    <w:rsid w:val="006B3A14"/>
    <w:rsid w:val="006B4F80"/>
    <w:rsid w:val="006C6FD6"/>
    <w:rsid w:val="006D2FD2"/>
    <w:rsid w:val="006D60E0"/>
    <w:rsid w:val="006E0D6B"/>
    <w:rsid w:val="006E3687"/>
    <w:rsid w:val="006F59C6"/>
    <w:rsid w:val="007002B6"/>
    <w:rsid w:val="00700F81"/>
    <w:rsid w:val="007035A0"/>
    <w:rsid w:val="0070442F"/>
    <w:rsid w:val="00704758"/>
    <w:rsid w:val="00714417"/>
    <w:rsid w:val="00714A0F"/>
    <w:rsid w:val="00714E1F"/>
    <w:rsid w:val="007233D6"/>
    <w:rsid w:val="0072369C"/>
    <w:rsid w:val="00724A6C"/>
    <w:rsid w:val="00726DD6"/>
    <w:rsid w:val="00743E6A"/>
    <w:rsid w:val="00753448"/>
    <w:rsid w:val="00754311"/>
    <w:rsid w:val="00760217"/>
    <w:rsid w:val="00761644"/>
    <w:rsid w:val="007632EC"/>
    <w:rsid w:val="00767BD5"/>
    <w:rsid w:val="00770A47"/>
    <w:rsid w:val="00772234"/>
    <w:rsid w:val="00772C9B"/>
    <w:rsid w:val="007826C0"/>
    <w:rsid w:val="007927DA"/>
    <w:rsid w:val="007B6250"/>
    <w:rsid w:val="007C117C"/>
    <w:rsid w:val="007C3771"/>
    <w:rsid w:val="007C3D03"/>
    <w:rsid w:val="007C4988"/>
    <w:rsid w:val="007D13F9"/>
    <w:rsid w:val="007D31F1"/>
    <w:rsid w:val="007E75F9"/>
    <w:rsid w:val="007F2CDF"/>
    <w:rsid w:val="00802F9E"/>
    <w:rsid w:val="00803F7B"/>
    <w:rsid w:val="0080461C"/>
    <w:rsid w:val="00804A7C"/>
    <w:rsid w:val="008058BB"/>
    <w:rsid w:val="00810428"/>
    <w:rsid w:val="00812DC8"/>
    <w:rsid w:val="0081362E"/>
    <w:rsid w:val="00816C2C"/>
    <w:rsid w:val="00817038"/>
    <w:rsid w:val="0082266C"/>
    <w:rsid w:val="008254E9"/>
    <w:rsid w:val="008337A4"/>
    <w:rsid w:val="00835843"/>
    <w:rsid w:val="00846B77"/>
    <w:rsid w:val="008520FE"/>
    <w:rsid w:val="00853096"/>
    <w:rsid w:val="00854DD4"/>
    <w:rsid w:val="008633BB"/>
    <w:rsid w:val="008727E0"/>
    <w:rsid w:val="00873D00"/>
    <w:rsid w:val="00890CF0"/>
    <w:rsid w:val="008A59D2"/>
    <w:rsid w:val="008A7FF8"/>
    <w:rsid w:val="008D269A"/>
    <w:rsid w:val="008D4404"/>
    <w:rsid w:val="008D52B9"/>
    <w:rsid w:val="008D534C"/>
    <w:rsid w:val="008E59EA"/>
    <w:rsid w:val="009061AD"/>
    <w:rsid w:val="00910C49"/>
    <w:rsid w:val="00911AB6"/>
    <w:rsid w:val="00922268"/>
    <w:rsid w:val="00925375"/>
    <w:rsid w:val="009263F8"/>
    <w:rsid w:val="00942558"/>
    <w:rsid w:val="0094739E"/>
    <w:rsid w:val="00960674"/>
    <w:rsid w:val="009737AB"/>
    <w:rsid w:val="0097416B"/>
    <w:rsid w:val="00976C89"/>
    <w:rsid w:val="00993849"/>
    <w:rsid w:val="009A0F7F"/>
    <w:rsid w:val="009A1F87"/>
    <w:rsid w:val="009A2E91"/>
    <w:rsid w:val="009A336F"/>
    <w:rsid w:val="009A46DA"/>
    <w:rsid w:val="009A7643"/>
    <w:rsid w:val="009A7940"/>
    <w:rsid w:val="009B4B91"/>
    <w:rsid w:val="009D20D1"/>
    <w:rsid w:val="009D21DE"/>
    <w:rsid w:val="009D22A5"/>
    <w:rsid w:val="009D319B"/>
    <w:rsid w:val="009D5616"/>
    <w:rsid w:val="009F04EC"/>
    <w:rsid w:val="009F1EEF"/>
    <w:rsid w:val="00A11B85"/>
    <w:rsid w:val="00A12225"/>
    <w:rsid w:val="00A171DE"/>
    <w:rsid w:val="00A216F6"/>
    <w:rsid w:val="00A26965"/>
    <w:rsid w:val="00A276F5"/>
    <w:rsid w:val="00A3037A"/>
    <w:rsid w:val="00A3610E"/>
    <w:rsid w:val="00A464EB"/>
    <w:rsid w:val="00A52AC3"/>
    <w:rsid w:val="00A535EC"/>
    <w:rsid w:val="00A53854"/>
    <w:rsid w:val="00A53D4C"/>
    <w:rsid w:val="00A613E0"/>
    <w:rsid w:val="00A67A2B"/>
    <w:rsid w:val="00A67A53"/>
    <w:rsid w:val="00A73B3F"/>
    <w:rsid w:val="00A73EE6"/>
    <w:rsid w:val="00A73EF8"/>
    <w:rsid w:val="00A746DB"/>
    <w:rsid w:val="00A80FDF"/>
    <w:rsid w:val="00A84064"/>
    <w:rsid w:val="00A87171"/>
    <w:rsid w:val="00A90D5C"/>
    <w:rsid w:val="00A967B7"/>
    <w:rsid w:val="00AA3EB8"/>
    <w:rsid w:val="00AB27DC"/>
    <w:rsid w:val="00AC2177"/>
    <w:rsid w:val="00AC2BB7"/>
    <w:rsid w:val="00AD05E0"/>
    <w:rsid w:val="00AD5E9C"/>
    <w:rsid w:val="00AE1D18"/>
    <w:rsid w:val="00AE74AA"/>
    <w:rsid w:val="00AF3AE8"/>
    <w:rsid w:val="00AF71A2"/>
    <w:rsid w:val="00B040C9"/>
    <w:rsid w:val="00B050A3"/>
    <w:rsid w:val="00B05D39"/>
    <w:rsid w:val="00B10492"/>
    <w:rsid w:val="00B27E3E"/>
    <w:rsid w:val="00B32A81"/>
    <w:rsid w:val="00B352D0"/>
    <w:rsid w:val="00B42EE4"/>
    <w:rsid w:val="00B44B70"/>
    <w:rsid w:val="00B5341C"/>
    <w:rsid w:val="00B552F2"/>
    <w:rsid w:val="00B568D4"/>
    <w:rsid w:val="00B57D49"/>
    <w:rsid w:val="00B619E2"/>
    <w:rsid w:val="00B63727"/>
    <w:rsid w:val="00B66FE1"/>
    <w:rsid w:val="00B72621"/>
    <w:rsid w:val="00B72BF1"/>
    <w:rsid w:val="00B91664"/>
    <w:rsid w:val="00B91D19"/>
    <w:rsid w:val="00BA52C6"/>
    <w:rsid w:val="00BB4329"/>
    <w:rsid w:val="00BB7B43"/>
    <w:rsid w:val="00BC0442"/>
    <w:rsid w:val="00BC2771"/>
    <w:rsid w:val="00BC35BE"/>
    <w:rsid w:val="00BD0AA0"/>
    <w:rsid w:val="00BD3713"/>
    <w:rsid w:val="00BD5242"/>
    <w:rsid w:val="00BE1EFF"/>
    <w:rsid w:val="00BE68A5"/>
    <w:rsid w:val="00BF43BF"/>
    <w:rsid w:val="00BF4EA6"/>
    <w:rsid w:val="00BF7E23"/>
    <w:rsid w:val="00C02DE3"/>
    <w:rsid w:val="00C12D3D"/>
    <w:rsid w:val="00C13FD6"/>
    <w:rsid w:val="00C1700A"/>
    <w:rsid w:val="00C1787A"/>
    <w:rsid w:val="00C211DB"/>
    <w:rsid w:val="00C243B8"/>
    <w:rsid w:val="00C24E42"/>
    <w:rsid w:val="00C25F3F"/>
    <w:rsid w:val="00C35298"/>
    <w:rsid w:val="00C42EE3"/>
    <w:rsid w:val="00C46003"/>
    <w:rsid w:val="00C50F24"/>
    <w:rsid w:val="00C51606"/>
    <w:rsid w:val="00C564C2"/>
    <w:rsid w:val="00C610BB"/>
    <w:rsid w:val="00C63528"/>
    <w:rsid w:val="00C643CE"/>
    <w:rsid w:val="00C67DB9"/>
    <w:rsid w:val="00C70263"/>
    <w:rsid w:val="00C70266"/>
    <w:rsid w:val="00C77B67"/>
    <w:rsid w:val="00C81343"/>
    <w:rsid w:val="00CA25D3"/>
    <w:rsid w:val="00CA3C8C"/>
    <w:rsid w:val="00CA63BB"/>
    <w:rsid w:val="00CB1F0D"/>
    <w:rsid w:val="00CB78FC"/>
    <w:rsid w:val="00CC5D57"/>
    <w:rsid w:val="00CC7E59"/>
    <w:rsid w:val="00CD382A"/>
    <w:rsid w:val="00CD3964"/>
    <w:rsid w:val="00CE22C5"/>
    <w:rsid w:val="00CE23E0"/>
    <w:rsid w:val="00CE3EE5"/>
    <w:rsid w:val="00CF32ED"/>
    <w:rsid w:val="00CF4138"/>
    <w:rsid w:val="00D023F2"/>
    <w:rsid w:val="00D05060"/>
    <w:rsid w:val="00D05D6D"/>
    <w:rsid w:val="00D121B0"/>
    <w:rsid w:val="00D17A6A"/>
    <w:rsid w:val="00D304EF"/>
    <w:rsid w:val="00D35D33"/>
    <w:rsid w:val="00D37689"/>
    <w:rsid w:val="00D4074C"/>
    <w:rsid w:val="00D41873"/>
    <w:rsid w:val="00D44006"/>
    <w:rsid w:val="00D52A3D"/>
    <w:rsid w:val="00D532F3"/>
    <w:rsid w:val="00D535BE"/>
    <w:rsid w:val="00D55B3D"/>
    <w:rsid w:val="00D56FB4"/>
    <w:rsid w:val="00D60411"/>
    <w:rsid w:val="00D60956"/>
    <w:rsid w:val="00D622B7"/>
    <w:rsid w:val="00D63BD2"/>
    <w:rsid w:val="00D7357A"/>
    <w:rsid w:val="00D751BA"/>
    <w:rsid w:val="00D8138A"/>
    <w:rsid w:val="00D84F95"/>
    <w:rsid w:val="00D875DF"/>
    <w:rsid w:val="00D97832"/>
    <w:rsid w:val="00D97DDC"/>
    <w:rsid w:val="00DA096B"/>
    <w:rsid w:val="00DA3494"/>
    <w:rsid w:val="00DA4825"/>
    <w:rsid w:val="00DA5197"/>
    <w:rsid w:val="00DA7365"/>
    <w:rsid w:val="00DA782A"/>
    <w:rsid w:val="00DB1CEB"/>
    <w:rsid w:val="00DB3260"/>
    <w:rsid w:val="00DB5A91"/>
    <w:rsid w:val="00DB63BA"/>
    <w:rsid w:val="00DB7146"/>
    <w:rsid w:val="00DC2765"/>
    <w:rsid w:val="00DD515E"/>
    <w:rsid w:val="00DF32C3"/>
    <w:rsid w:val="00E043B4"/>
    <w:rsid w:val="00E07F68"/>
    <w:rsid w:val="00E24FB2"/>
    <w:rsid w:val="00E27981"/>
    <w:rsid w:val="00E4075B"/>
    <w:rsid w:val="00E51B2E"/>
    <w:rsid w:val="00E55B4A"/>
    <w:rsid w:val="00E5693F"/>
    <w:rsid w:val="00E61B5F"/>
    <w:rsid w:val="00E62529"/>
    <w:rsid w:val="00E74341"/>
    <w:rsid w:val="00E75619"/>
    <w:rsid w:val="00E76694"/>
    <w:rsid w:val="00E77016"/>
    <w:rsid w:val="00E806CB"/>
    <w:rsid w:val="00E846EB"/>
    <w:rsid w:val="00E96B74"/>
    <w:rsid w:val="00E976AF"/>
    <w:rsid w:val="00EA0331"/>
    <w:rsid w:val="00EA5047"/>
    <w:rsid w:val="00EB0A90"/>
    <w:rsid w:val="00EB58F8"/>
    <w:rsid w:val="00ED7088"/>
    <w:rsid w:val="00ED77AF"/>
    <w:rsid w:val="00EF5C6F"/>
    <w:rsid w:val="00F079F7"/>
    <w:rsid w:val="00F16A0A"/>
    <w:rsid w:val="00F16AA4"/>
    <w:rsid w:val="00F17A9F"/>
    <w:rsid w:val="00F22E33"/>
    <w:rsid w:val="00F3051B"/>
    <w:rsid w:val="00F32F19"/>
    <w:rsid w:val="00F339C5"/>
    <w:rsid w:val="00F3654C"/>
    <w:rsid w:val="00F46F34"/>
    <w:rsid w:val="00F61E6C"/>
    <w:rsid w:val="00F62685"/>
    <w:rsid w:val="00F70642"/>
    <w:rsid w:val="00F73490"/>
    <w:rsid w:val="00F74FA1"/>
    <w:rsid w:val="00F75087"/>
    <w:rsid w:val="00F77CAE"/>
    <w:rsid w:val="00F85DBB"/>
    <w:rsid w:val="00F87E46"/>
    <w:rsid w:val="00F926A7"/>
    <w:rsid w:val="00F9535D"/>
    <w:rsid w:val="00F97B2C"/>
    <w:rsid w:val="00FA3A25"/>
    <w:rsid w:val="00FC79E9"/>
    <w:rsid w:val="00FE6297"/>
    <w:rsid w:val="00FE7F6C"/>
    <w:rsid w:val="00FF3FCC"/>
    <w:rsid w:val="00FF44C8"/>
    <w:rsid w:val="00FF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D17A6A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  <w:style w:type="character" w:customStyle="1" w:styleId="Ttulo1Char">
    <w:name w:val="Título 1 Char"/>
    <w:basedOn w:val="Fontepargpadro"/>
    <w:link w:val="Ttulo1"/>
    <w:rsid w:val="00D17A6A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I:\CEPAL%202016_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I:\CEPAL%202016_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Índice</a:t>
            </a:r>
            <a:r>
              <a:rPr lang="pt-BR" baseline="0"/>
              <a:t> de Liquidez</a:t>
            </a:r>
            <a:endParaRPr lang="pt-BR"/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Plan2!$J$88</c:f>
              <c:strCache>
                <c:ptCount val="1"/>
                <c:pt idx="0">
                  <c:v>2017</c:v>
                </c:pt>
              </c:strCache>
            </c:strRef>
          </c:tx>
          <c:cat>
            <c:strRef>
              <c:f>Plan2!$I$89:$I$91</c:f>
              <c:strCache>
                <c:ptCount val="3"/>
                <c:pt idx="0">
                  <c:v>LIQUIDEZ GERAL - LG</c:v>
                </c:pt>
                <c:pt idx="1">
                  <c:v>LIQUIDEZ CORRENTE - LC</c:v>
                </c:pt>
                <c:pt idx="2">
                  <c:v>LIQUDEZ SECA - LS</c:v>
                </c:pt>
              </c:strCache>
            </c:strRef>
          </c:cat>
          <c:val>
            <c:numRef>
              <c:f>Plan2!$J$89:$J$91</c:f>
              <c:numCache>
                <c:formatCode>General</c:formatCode>
                <c:ptCount val="3"/>
                <c:pt idx="0">
                  <c:v>10.66</c:v>
                </c:pt>
                <c:pt idx="1">
                  <c:v>8.18</c:v>
                </c:pt>
                <c:pt idx="2">
                  <c:v>6.55</c:v>
                </c:pt>
              </c:numCache>
            </c:numRef>
          </c:val>
        </c:ser>
        <c:ser>
          <c:idx val="1"/>
          <c:order val="1"/>
          <c:tx>
            <c:strRef>
              <c:f>Plan2!$K$88</c:f>
              <c:strCache>
                <c:ptCount val="1"/>
                <c:pt idx="0">
                  <c:v>2016</c:v>
                </c:pt>
              </c:strCache>
            </c:strRef>
          </c:tx>
          <c:cat>
            <c:strRef>
              <c:f>Plan2!$I$89:$I$91</c:f>
              <c:strCache>
                <c:ptCount val="3"/>
                <c:pt idx="0">
                  <c:v>LIQUIDEZ GERAL - LG</c:v>
                </c:pt>
                <c:pt idx="1">
                  <c:v>LIQUIDEZ CORRENTE - LC</c:v>
                </c:pt>
                <c:pt idx="2">
                  <c:v>LIQUDEZ SECA - LS</c:v>
                </c:pt>
              </c:strCache>
            </c:strRef>
          </c:cat>
          <c:val>
            <c:numRef>
              <c:f>Plan2!$K$89:$K$91</c:f>
              <c:numCache>
                <c:formatCode>General</c:formatCode>
                <c:ptCount val="3"/>
                <c:pt idx="0">
                  <c:v>7.76</c:v>
                </c:pt>
                <c:pt idx="1">
                  <c:v>5.6899999999999995</c:v>
                </c:pt>
                <c:pt idx="2">
                  <c:v>4.9400000000000004</c:v>
                </c:pt>
              </c:numCache>
            </c:numRef>
          </c:val>
        </c:ser>
        <c:shape val="cylinder"/>
        <c:axId val="141352960"/>
        <c:axId val="141354880"/>
        <c:axId val="0"/>
      </c:bar3DChart>
      <c:catAx>
        <c:axId val="141352960"/>
        <c:scaling>
          <c:orientation val="minMax"/>
        </c:scaling>
        <c:axPos val="b"/>
        <c:majorTickMark val="none"/>
        <c:tickLblPos val="nextTo"/>
        <c:crossAx val="141354880"/>
        <c:crosses val="autoZero"/>
        <c:auto val="1"/>
        <c:lblAlgn val="ctr"/>
        <c:lblOffset val="100"/>
      </c:catAx>
      <c:valAx>
        <c:axId val="1413548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413529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Índice</a:t>
            </a:r>
            <a:r>
              <a:rPr lang="pt-BR" baseline="0"/>
              <a:t> de Endividamento</a:t>
            </a:r>
            <a:endParaRPr lang="pt-BR"/>
          </a:p>
        </c:rich>
      </c:tx>
      <c:layout>
        <c:manualLayout>
          <c:xMode val="edge"/>
          <c:yMode val="edge"/>
          <c:x val="0.35084121929484641"/>
          <c:y val="2.1217907914279664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0.16043921476107645"/>
          <c:y val="0.19480351414406533"/>
          <c:w val="0.81209511732381934"/>
          <c:h val="0.5092592592592593"/>
        </c:manualLayout>
      </c:layout>
      <c:bar3DChart>
        <c:barDir val="col"/>
        <c:grouping val="clustered"/>
        <c:ser>
          <c:idx val="0"/>
          <c:order val="0"/>
          <c:tx>
            <c:strRef>
              <c:f>Plan2!$D$165</c:f>
              <c:strCache>
                <c:ptCount val="1"/>
                <c:pt idx="0">
                  <c:v>2017</c:v>
                </c:pt>
              </c:strCache>
            </c:strRef>
          </c:tx>
          <c:cat>
            <c:strRef>
              <c:f>Plan2!$C$166:$C$167</c:f>
              <c:strCache>
                <c:ptCount val="2"/>
                <c:pt idx="0">
                  <c:v>Endividamento Geral </c:v>
                </c:pt>
                <c:pt idx="1">
                  <c:v>Composição de Endividmento </c:v>
                </c:pt>
              </c:strCache>
            </c:strRef>
          </c:cat>
          <c:val>
            <c:numRef>
              <c:f>Plan2!$D$166:$D$167</c:f>
              <c:numCache>
                <c:formatCode>0.00</c:formatCode>
                <c:ptCount val="2"/>
                <c:pt idx="0">
                  <c:v>9.0000000000000024E-2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Plan2!$E$165</c:f>
              <c:strCache>
                <c:ptCount val="1"/>
                <c:pt idx="0">
                  <c:v>2016</c:v>
                </c:pt>
              </c:strCache>
            </c:strRef>
          </c:tx>
          <c:cat>
            <c:strRef>
              <c:f>Plan2!$C$166:$C$167</c:f>
              <c:strCache>
                <c:ptCount val="2"/>
                <c:pt idx="0">
                  <c:v>Endividamento Geral </c:v>
                </c:pt>
                <c:pt idx="1">
                  <c:v>Composição de Endividmento </c:v>
                </c:pt>
              </c:strCache>
            </c:strRef>
          </c:cat>
          <c:val>
            <c:numRef>
              <c:f>Plan2!$E$166:$E$167</c:f>
              <c:numCache>
                <c:formatCode>0.00</c:formatCode>
                <c:ptCount val="2"/>
                <c:pt idx="0">
                  <c:v>0.13</c:v>
                </c:pt>
                <c:pt idx="1">
                  <c:v>1</c:v>
                </c:pt>
              </c:numCache>
            </c:numRef>
          </c:val>
        </c:ser>
        <c:shape val="cylinder"/>
        <c:axId val="141697792"/>
        <c:axId val="141699328"/>
        <c:axId val="0"/>
      </c:bar3DChart>
      <c:catAx>
        <c:axId val="141697792"/>
        <c:scaling>
          <c:orientation val="minMax"/>
        </c:scaling>
        <c:axPos val="b"/>
        <c:majorTickMark val="none"/>
        <c:tickLblPos val="nextTo"/>
        <c:crossAx val="141699328"/>
        <c:crosses val="autoZero"/>
        <c:auto val="1"/>
        <c:lblAlgn val="ctr"/>
        <c:lblOffset val="100"/>
      </c:catAx>
      <c:valAx>
        <c:axId val="141699328"/>
        <c:scaling>
          <c:orientation val="minMax"/>
        </c:scaling>
        <c:axPos val="l"/>
        <c:majorGridlines/>
        <c:numFmt formatCode="0.00" sourceLinked="1"/>
        <c:majorTickMark val="none"/>
        <c:tickLblPos val="nextTo"/>
        <c:crossAx val="1416977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43A4D-ED45-4C5A-9096-AF824445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4674</Words>
  <Characters>25241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fabricia.soares</cp:lastModifiedBy>
  <cp:revision>11</cp:revision>
  <cp:lastPrinted>2017-04-18T14:15:00Z</cp:lastPrinted>
  <dcterms:created xsi:type="dcterms:W3CDTF">2018-05-17T13:06:00Z</dcterms:created>
  <dcterms:modified xsi:type="dcterms:W3CDTF">2018-05-17T18:05:00Z</dcterms:modified>
</cp:coreProperties>
</file>