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Pr="00404666" w:rsidRDefault="006A7709" w:rsidP="00404666">
      <w:pPr>
        <w:spacing w:after="0" w:line="240" w:lineRule="atLeast"/>
        <w:ind w:left="1418" w:hanging="1418"/>
        <w:jc w:val="both"/>
        <w:rPr>
          <w:rFonts w:asciiTheme="minorHAnsi" w:hAnsiTheme="minorHAnsi" w:cstheme="minorHAnsi"/>
          <w:b/>
        </w:rPr>
      </w:pPr>
    </w:p>
    <w:p w:rsidR="00ED5D6C" w:rsidRPr="00404666" w:rsidRDefault="00ED5D6C" w:rsidP="00404666">
      <w:pPr>
        <w:spacing w:after="0" w:line="240" w:lineRule="atLeast"/>
        <w:ind w:left="1418" w:hanging="1418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  <w:b/>
        </w:rPr>
        <w:t xml:space="preserve">Processo nº: </w:t>
      </w:r>
      <w:r w:rsidR="0016553C" w:rsidRPr="00404666">
        <w:rPr>
          <w:rFonts w:asciiTheme="minorHAnsi" w:hAnsiTheme="minorHAnsi" w:cstheme="minorHAnsi"/>
        </w:rPr>
        <w:t>120</w:t>
      </w:r>
      <w:r w:rsidR="003D36FA">
        <w:rPr>
          <w:rFonts w:asciiTheme="minorHAnsi" w:hAnsiTheme="minorHAnsi" w:cstheme="minorHAnsi"/>
        </w:rPr>
        <w:t>6</w:t>
      </w:r>
      <w:r w:rsidR="0016553C" w:rsidRPr="00404666">
        <w:rPr>
          <w:rFonts w:asciiTheme="minorHAnsi" w:hAnsiTheme="minorHAnsi" w:cstheme="minorHAnsi"/>
        </w:rPr>
        <w:t>-6494/2016</w:t>
      </w:r>
    </w:p>
    <w:p w:rsidR="00ED5D6C" w:rsidRPr="00404666" w:rsidRDefault="00ED5D6C" w:rsidP="00404666">
      <w:pPr>
        <w:spacing w:after="0" w:line="240" w:lineRule="atLeast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  <w:b/>
        </w:rPr>
        <w:t>Interessado</w:t>
      </w:r>
      <w:r w:rsidR="00323545" w:rsidRPr="00404666">
        <w:rPr>
          <w:rFonts w:asciiTheme="minorHAnsi" w:hAnsiTheme="minorHAnsi" w:cstheme="minorHAnsi"/>
        </w:rPr>
        <w:t>:</w:t>
      </w:r>
      <w:r w:rsidR="00152C40" w:rsidRPr="00404666">
        <w:rPr>
          <w:rFonts w:asciiTheme="minorHAnsi" w:hAnsiTheme="minorHAnsi" w:cstheme="minorHAnsi"/>
        </w:rPr>
        <w:t xml:space="preserve"> </w:t>
      </w:r>
      <w:r w:rsidR="0016553C" w:rsidRPr="00404666">
        <w:rPr>
          <w:rFonts w:asciiTheme="minorHAnsi" w:hAnsiTheme="minorHAnsi" w:cstheme="minorHAnsi"/>
        </w:rPr>
        <w:t>João Marcus Dionísio Araújo</w:t>
      </w:r>
    </w:p>
    <w:p w:rsidR="00ED5D6C" w:rsidRPr="00404666" w:rsidRDefault="00ED5D6C" w:rsidP="00404666">
      <w:pPr>
        <w:tabs>
          <w:tab w:val="left" w:pos="8647"/>
        </w:tabs>
        <w:spacing w:after="0" w:line="240" w:lineRule="atLeast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  <w:b/>
        </w:rPr>
        <w:t>Assunto</w:t>
      </w:r>
      <w:r w:rsidRPr="00404666">
        <w:rPr>
          <w:rFonts w:asciiTheme="minorHAnsi" w:hAnsiTheme="minorHAnsi" w:cstheme="minorHAnsi"/>
        </w:rPr>
        <w:t>:</w:t>
      </w:r>
      <w:r w:rsidR="00152C40" w:rsidRPr="00404666">
        <w:rPr>
          <w:rFonts w:asciiTheme="minorHAnsi" w:hAnsiTheme="minorHAnsi" w:cstheme="minorHAnsi"/>
        </w:rPr>
        <w:t xml:space="preserve"> Aquisição de Uniforme</w:t>
      </w:r>
    </w:p>
    <w:p w:rsidR="00ED5D6C" w:rsidRPr="00404666" w:rsidRDefault="00ED5D6C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404666" w:rsidRDefault="00ED5D6C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4666">
        <w:rPr>
          <w:rFonts w:asciiTheme="minorHAnsi" w:hAnsiTheme="minorHAnsi" w:cstheme="minorHAnsi"/>
          <w:b/>
          <w:u w:val="single"/>
        </w:rPr>
        <w:t>1 – DOS FATOS</w:t>
      </w:r>
    </w:p>
    <w:p w:rsidR="00152C40" w:rsidRPr="00404666" w:rsidRDefault="00F12229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>Trata-se do Processo Administrativo referido, em volume único com 12 folhas, datado de 27 de outubro de 2016,</w:t>
      </w:r>
      <w:proofErr w:type="gramStart"/>
      <w:r w:rsidRPr="00404666">
        <w:rPr>
          <w:rFonts w:asciiTheme="minorHAnsi" w:hAnsiTheme="minorHAnsi" w:cstheme="minorHAnsi"/>
        </w:rPr>
        <w:t xml:space="preserve">  </w:t>
      </w:r>
      <w:proofErr w:type="gramEnd"/>
      <w:r w:rsidRPr="00404666">
        <w:rPr>
          <w:rFonts w:asciiTheme="minorHAnsi" w:hAnsiTheme="minorHAnsi" w:cstheme="minorHAnsi"/>
        </w:rPr>
        <w:t xml:space="preserve">solicitação </w:t>
      </w:r>
      <w:r w:rsidR="00152C40" w:rsidRPr="00404666">
        <w:rPr>
          <w:rFonts w:asciiTheme="minorHAnsi" w:hAnsiTheme="minorHAnsi" w:cstheme="minorHAnsi"/>
        </w:rPr>
        <w:t>de auxílio</w:t>
      </w:r>
      <w:r w:rsidRPr="00404666">
        <w:rPr>
          <w:rFonts w:asciiTheme="minorHAnsi" w:hAnsiTheme="minorHAnsi" w:cstheme="minorHAnsi"/>
        </w:rPr>
        <w:t xml:space="preserve"> para</w:t>
      </w:r>
      <w:r w:rsidR="00152C40" w:rsidRPr="00404666">
        <w:rPr>
          <w:rFonts w:asciiTheme="minorHAnsi" w:hAnsiTheme="minorHAnsi" w:cstheme="minorHAnsi"/>
        </w:rPr>
        <w:t xml:space="preserve"> a</w:t>
      </w:r>
      <w:r w:rsidRPr="00404666">
        <w:rPr>
          <w:rFonts w:asciiTheme="minorHAnsi" w:hAnsiTheme="minorHAnsi" w:cstheme="minorHAnsi"/>
        </w:rPr>
        <w:t>quisição de uniforme, interposto</w:t>
      </w:r>
      <w:r w:rsidR="00152C40" w:rsidRPr="00404666">
        <w:rPr>
          <w:rFonts w:asciiTheme="minorHAnsi" w:hAnsiTheme="minorHAnsi" w:cstheme="minorHAnsi"/>
        </w:rPr>
        <w:t xml:space="preserve"> pelo servidor </w:t>
      </w:r>
      <w:r w:rsidR="0016553C" w:rsidRPr="00404666">
        <w:rPr>
          <w:rFonts w:asciiTheme="minorHAnsi" w:hAnsiTheme="minorHAnsi" w:cstheme="minorHAnsi"/>
        </w:rPr>
        <w:t>João Marcus Dionísio Araújo</w:t>
      </w:r>
      <w:r w:rsidR="00152C40" w:rsidRPr="00404666">
        <w:rPr>
          <w:rFonts w:asciiTheme="minorHAnsi" w:hAnsiTheme="minorHAnsi" w:cstheme="minorHAnsi"/>
        </w:rPr>
        <w:t>, em conformidade com o Art. 11 da Lei 6.456/</w:t>
      </w:r>
      <w:r w:rsidR="008F7EB9" w:rsidRPr="00404666">
        <w:rPr>
          <w:rFonts w:asciiTheme="minorHAnsi" w:hAnsiTheme="minorHAnsi" w:cstheme="minorHAnsi"/>
        </w:rPr>
        <w:t>20</w:t>
      </w:r>
      <w:r w:rsidR="00152C40" w:rsidRPr="00404666">
        <w:rPr>
          <w:rFonts w:asciiTheme="minorHAnsi" w:hAnsiTheme="minorHAnsi" w:cstheme="minorHAnsi"/>
        </w:rPr>
        <w:t xml:space="preserve">04, </w:t>
      </w:r>
      <w:r w:rsidR="008F7EB9" w:rsidRPr="00404666">
        <w:rPr>
          <w:rFonts w:asciiTheme="minorHAnsi" w:hAnsiTheme="minorHAnsi" w:cstheme="minorHAnsi"/>
        </w:rPr>
        <w:t>Art. 3 do Decreto nº 30.01</w:t>
      </w:r>
      <w:r w:rsidR="00731398" w:rsidRPr="00404666">
        <w:rPr>
          <w:rFonts w:asciiTheme="minorHAnsi" w:hAnsiTheme="minorHAnsi" w:cstheme="minorHAnsi"/>
        </w:rPr>
        <w:t>9</w:t>
      </w:r>
      <w:r w:rsidR="008F7EB9" w:rsidRPr="00404666">
        <w:rPr>
          <w:rFonts w:asciiTheme="minorHAnsi" w:hAnsiTheme="minorHAnsi" w:cstheme="minorHAnsi"/>
        </w:rPr>
        <w:t xml:space="preserve">/2014, </w:t>
      </w:r>
      <w:r w:rsidR="00152C40" w:rsidRPr="00404666">
        <w:rPr>
          <w:rFonts w:asciiTheme="minorHAnsi" w:hAnsiTheme="minorHAnsi" w:cstheme="minorHAnsi"/>
        </w:rPr>
        <w:t>e BGO nº 1</w:t>
      </w:r>
      <w:r w:rsidR="0016553C" w:rsidRPr="00404666">
        <w:rPr>
          <w:rFonts w:asciiTheme="minorHAnsi" w:hAnsiTheme="minorHAnsi" w:cstheme="minorHAnsi"/>
        </w:rPr>
        <w:t>57</w:t>
      </w:r>
      <w:r w:rsidR="00152C40" w:rsidRPr="00404666">
        <w:rPr>
          <w:rFonts w:asciiTheme="minorHAnsi" w:hAnsiTheme="minorHAnsi" w:cstheme="minorHAnsi"/>
        </w:rPr>
        <w:t xml:space="preserve"> de </w:t>
      </w:r>
      <w:r w:rsidR="0016553C" w:rsidRPr="00404666">
        <w:rPr>
          <w:rFonts w:asciiTheme="minorHAnsi" w:hAnsiTheme="minorHAnsi" w:cstheme="minorHAnsi"/>
        </w:rPr>
        <w:t>22/08/2016 (fls. 02/06</w:t>
      </w:r>
      <w:r w:rsidR="00152C40" w:rsidRPr="00404666">
        <w:rPr>
          <w:rFonts w:asciiTheme="minorHAnsi" w:hAnsiTheme="minorHAnsi" w:cstheme="minorHAnsi"/>
        </w:rPr>
        <w:t>).</w:t>
      </w:r>
    </w:p>
    <w:p w:rsidR="00F12229" w:rsidRPr="00404666" w:rsidRDefault="00F12229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 xml:space="preserve">Os autos foram encaminhados a esta </w:t>
      </w:r>
      <w:r w:rsidRPr="00404666">
        <w:rPr>
          <w:rFonts w:asciiTheme="minorHAnsi" w:hAnsiTheme="minorHAnsi" w:cstheme="minorHAnsi"/>
          <w:b/>
        </w:rPr>
        <w:t xml:space="preserve">Controladoria Geral do Estado – CGE, </w:t>
      </w:r>
      <w:r w:rsidRPr="00404666">
        <w:rPr>
          <w:rFonts w:asciiTheme="minorHAnsi" w:hAnsiTheme="minorHAnsi" w:cstheme="minorHAnsi"/>
        </w:rPr>
        <w:t xml:space="preserve">para análise e verificação da divergência de valor na exação dos cálculos, atendendo ao que determina o Decreto Estadual nº 4.190, de 1º de outubro de 2009 e alterações posteriores dadas pelo Decreto nº 15.857/2011 e Decreto nº 51.828/2017.                             </w:t>
      </w:r>
    </w:p>
    <w:p w:rsidR="00ED5D6C" w:rsidRPr="00404666" w:rsidRDefault="00ED5D6C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4666">
        <w:rPr>
          <w:rFonts w:asciiTheme="minorHAnsi" w:hAnsiTheme="minorHAnsi" w:cstheme="minorHAnsi"/>
          <w:b/>
          <w:u w:val="single"/>
        </w:rPr>
        <w:t>2 – DO MÉRITO</w:t>
      </w:r>
    </w:p>
    <w:p w:rsidR="00731398" w:rsidRPr="00404666" w:rsidRDefault="00556F3D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</w:p>
    <w:p w:rsidR="00ED5D6C" w:rsidRPr="00404666" w:rsidRDefault="00731398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 xml:space="preserve">Inclusive, em relação à referência de valor, verifica-se a conformidade com o § 1º do Art. 1º do Decreto nº 30.019/2014 (fls. 06/07). </w:t>
      </w:r>
      <w:r w:rsidR="00556F3D" w:rsidRPr="00404666">
        <w:rPr>
          <w:rFonts w:asciiTheme="minorHAnsi" w:hAnsiTheme="minorHAnsi" w:cstheme="minorHAnsi"/>
        </w:rPr>
        <w:t xml:space="preserve"> </w:t>
      </w:r>
    </w:p>
    <w:p w:rsidR="00ED5D6C" w:rsidRPr="00404666" w:rsidRDefault="00ED5D6C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4666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A91C65" w:rsidRPr="00404666" w:rsidRDefault="00A91C65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  <w:b/>
        </w:rPr>
      </w:pPr>
      <w:r w:rsidRPr="00404666">
        <w:rPr>
          <w:rFonts w:asciiTheme="minorHAnsi" w:hAnsiTheme="minorHAnsi" w:cstheme="minorHAnsi"/>
        </w:rPr>
        <w:t xml:space="preserve">O período a ser considerado para efeito de cálculos tem como base </w:t>
      </w:r>
      <w:r w:rsidR="00B13C41" w:rsidRPr="00404666">
        <w:rPr>
          <w:rFonts w:asciiTheme="minorHAnsi" w:hAnsiTheme="minorHAnsi" w:cstheme="minorHAnsi"/>
        </w:rPr>
        <w:t>a competência 2016</w:t>
      </w:r>
      <w:r w:rsidRPr="00404666">
        <w:rPr>
          <w:rFonts w:asciiTheme="minorHAnsi" w:hAnsiTheme="minorHAnsi" w:cstheme="minorHAnsi"/>
        </w:rPr>
        <w:t xml:space="preserve">, conforme </w:t>
      </w:r>
      <w:r w:rsidR="00B13C41" w:rsidRPr="00404666">
        <w:rPr>
          <w:rFonts w:asciiTheme="minorHAnsi" w:hAnsiTheme="minorHAnsi" w:cstheme="minorHAnsi"/>
        </w:rPr>
        <w:t>Requerimento nº 117/2016 (fls. 03)</w:t>
      </w:r>
      <w:r w:rsidRPr="00404666">
        <w:rPr>
          <w:rFonts w:asciiTheme="minorHAnsi" w:hAnsiTheme="minorHAnsi" w:cstheme="minorHAnsi"/>
        </w:rPr>
        <w:t>.</w:t>
      </w:r>
    </w:p>
    <w:p w:rsidR="004F793D" w:rsidRPr="00404666" w:rsidRDefault="004F793D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04666">
        <w:rPr>
          <w:rFonts w:asciiTheme="minorHAnsi" w:hAnsiTheme="minorHAnsi" w:cstheme="minorHAnsi"/>
          <w:b/>
          <w:u w:val="single"/>
        </w:rPr>
        <w:t>2.2 – DO VALOR TOTAL A RECEBER</w:t>
      </w:r>
    </w:p>
    <w:p w:rsidR="006A7709" w:rsidRPr="00404666" w:rsidRDefault="00A91C65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 xml:space="preserve">Diante das informações apresentadas, o servidor interessado faz jus ao recebimento de </w:t>
      </w:r>
      <w:r w:rsidRPr="00404666">
        <w:rPr>
          <w:rFonts w:asciiTheme="minorHAnsi" w:hAnsiTheme="minorHAnsi" w:cstheme="minorHAnsi"/>
          <w:b/>
        </w:rPr>
        <w:t xml:space="preserve">R$ 800,00 </w:t>
      </w:r>
      <w:r w:rsidRPr="00404666">
        <w:rPr>
          <w:rFonts w:asciiTheme="minorHAnsi" w:hAnsiTheme="minorHAnsi" w:cstheme="minorHAnsi"/>
        </w:rPr>
        <w:t>(oitocentos reais)</w:t>
      </w:r>
      <w:r w:rsidR="006A7709" w:rsidRPr="00404666">
        <w:rPr>
          <w:rFonts w:asciiTheme="minorHAnsi" w:hAnsiTheme="minorHAnsi" w:cstheme="minorHAnsi"/>
        </w:rPr>
        <w:t>.</w:t>
      </w:r>
    </w:p>
    <w:p w:rsidR="006A7709" w:rsidRPr="00404666" w:rsidRDefault="00A91C65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  <w:b/>
        </w:rPr>
      </w:pPr>
      <w:r w:rsidRPr="00404666">
        <w:rPr>
          <w:rFonts w:asciiTheme="minorHAnsi" w:hAnsiTheme="minorHAnsi" w:cstheme="minorHAnsi"/>
          <w:b/>
        </w:rPr>
        <w:t>2.3 – DA DOTAÇÃO ORÇAMENTÁRIA</w:t>
      </w:r>
    </w:p>
    <w:p w:rsidR="006A7709" w:rsidRPr="00404666" w:rsidRDefault="00F12229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>Consta d</w:t>
      </w:r>
      <w:r w:rsidR="008C4035" w:rsidRPr="00404666">
        <w:rPr>
          <w:rFonts w:asciiTheme="minorHAnsi" w:hAnsiTheme="minorHAnsi" w:cstheme="minorHAnsi"/>
        </w:rPr>
        <w:t xml:space="preserve">espacho nº </w:t>
      </w:r>
      <w:r w:rsidR="00B13C41" w:rsidRPr="00404666">
        <w:rPr>
          <w:rFonts w:asciiTheme="minorHAnsi" w:hAnsiTheme="minorHAnsi" w:cstheme="minorHAnsi"/>
        </w:rPr>
        <w:t>664/2017</w:t>
      </w:r>
      <w:r w:rsidRPr="00404666">
        <w:rPr>
          <w:rFonts w:asciiTheme="minorHAnsi" w:hAnsiTheme="minorHAnsi" w:cstheme="minorHAnsi"/>
        </w:rPr>
        <w:t>, datado de 17/05/2017, informando</w:t>
      </w:r>
      <w:proofErr w:type="gramStart"/>
      <w:r w:rsidRPr="00404666">
        <w:rPr>
          <w:rFonts w:asciiTheme="minorHAnsi" w:hAnsiTheme="minorHAnsi" w:cstheme="minorHAnsi"/>
        </w:rPr>
        <w:t xml:space="preserve"> </w:t>
      </w:r>
      <w:r w:rsidR="008C4035" w:rsidRPr="00404666">
        <w:rPr>
          <w:rFonts w:asciiTheme="minorHAnsi" w:hAnsiTheme="minorHAnsi" w:cstheme="minorHAnsi"/>
        </w:rPr>
        <w:t xml:space="preserve"> </w:t>
      </w:r>
      <w:proofErr w:type="gramEnd"/>
      <w:r w:rsidRPr="00404666">
        <w:rPr>
          <w:rFonts w:asciiTheme="minorHAnsi" w:hAnsiTheme="minorHAnsi" w:cstheme="minorHAnsi"/>
        </w:rPr>
        <w:t xml:space="preserve">a existência de </w:t>
      </w:r>
      <w:r w:rsidR="00A91C65" w:rsidRPr="00404666">
        <w:rPr>
          <w:rFonts w:asciiTheme="minorHAnsi" w:hAnsiTheme="minorHAnsi" w:cstheme="minorHAnsi"/>
        </w:rPr>
        <w:t>dotação orçamentária</w:t>
      </w:r>
      <w:r w:rsidRPr="00404666">
        <w:rPr>
          <w:rFonts w:asciiTheme="minorHAnsi" w:hAnsiTheme="minorHAnsi" w:cstheme="minorHAnsi"/>
        </w:rPr>
        <w:t xml:space="preserve"> </w:t>
      </w:r>
      <w:r w:rsidR="00A91C65" w:rsidRPr="00404666">
        <w:rPr>
          <w:rFonts w:asciiTheme="minorHAnsi" w:hAnsiTheme="minorHAnsi" w:cstheme="minorHAnsi"/>
        </w:rPr>
        <w:t>.</w:t>
      </w:r>
    </w:p>
    <w:p w:rsidR="00ED5D6C" w:rsidRPr="00404666" w:rsidRDefault="00ED5D6C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04666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C3862" w:rsidRPr="00404666" w:rsidRDefault="004F793D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proofErr w:type="gramStart"/>
      <w:r w:rsidR="00CC0034" w:rsidRPr="00404666">
        <w:rPr>
          <w:rFonts w:asciiTheme="minorHAnsi" w:hAnsiTheme="minorHAnsi" w:cstheme="minorHAnsi"/>
          <w:b/>
        </w:rPr>
        <w:t xml:space="preserve">R$ </w:t>
      </w:r>
      <w:r w:rsidR="00731398" w:rsidRPr="00404666">
        <w:rPr>
          <w:rFonts w:asciiTheme="minorHAnsi" w:hAnsiTheme="minorHAnsi" w:cstheme="minorHAnsi"/>
          <w:b/>
        </w:rPr>
        <w:t>800</w:t>
      </w:r>
      <w:r w:rsidR="00CC0034" w:rsidRPr="00404666">
        <w:rPr>
          <w:rFonts w:asciiTheme="minorHAnsi" w:hAnsiTheme="minorHAnsi" w:cstheme="minorHAnsi"/>
          <w:b/>
        </w:rPr>
        <w:t>,</w:t>
      </w:r>
      <w:r w:rsidR="00731398" w:rsidRPr="00404666">
        <w:rPr>
          <w:rFonts w:asciiTheme="minorHAnsi" w:hAnsiTheme="minorHAnsi" w:cstheme="minorHAnsi"/>
          <w:b/>
        </w:rPr>
        <w:t>00</w:t>
      </w:r>
      <w:r w:rsidR="00CC0034" w:rsidRPr="00404666">
        <w:rPr>
          <w:rFonts w:asciiTheme="minorHAnsi" w:hAnsiTheme="minorHAnsi" w:cstheme="minorHAnsi"/>
          <w:b/>
        </w:rPr>
        <w:t xml:space="preserve"> </w:t>
      </w:r>
      <w:r w:rsidR="00CC0034" w:rsidRPr="00404666">
        <w:rPr>
          <w:rFonts w:asciiTheme="minorHAnsi" w:hAnsiTheme="minorHAnsi" w:cstheme="minorHAnsi"/>
        </w:rPr>
        <w:t>(</w:t>
      </w:r>
      <w:r w:rsidR="00731398" w:rsidRPr="00404666">
        <w:rPr>
          <w:rFonts w:asciiTheme="minorHAnsi" w:hAnsiTheme="minorHAnsi" w:cstheme="minorHAnsi"/>
        </w:rPr>
        <w:t>oitocentos reais)</w:t>
      </w:r>
      <w:r w:rsidRPr="00404666">
        <w:rPr>
          <w:rFonts w:asciiTheme="minorHAnsi" w:hAnsiTheme="minorHAnsi" w:cstheme="minorHAnsi"/>
        </w:rPr>
        <w:t xml:space="preserve"> a </w:t>
      </w:r>
      <w:r w:rsidR="0016553C" w:rsidRPr="00404666">
        <w:rPr>
          <w:rFonts w:asciiTheme="minorHAnsi" w:hAnsiTheme="minorHAnsi" w:cstheme="minorHAnsi"/>
        </w:rPr>
        <w:t>João Marcus Dionísio Araújo</w:t>
      </w:r>
      <w:r w:rsidRPr="00404666">
        <w:rPr>
          <w:rFonts w:asciiTheme="minorHAnsi" w:hAnsiTheme="minorHAnsi" w:cstheme="minorHAnsi"/>
        </w:rPr>
        <w:t xml:space="preserve">, </w:t>
      </w:r>
      <w:r w:rsidR="00731398" w:rsidRPr="00404666">
        <w:rPr>
          <w:rFonts w:asciiTheme="minorHAnsi" w:hAnsiTheme="minorHAnsi" w:cstheme="minorHAnsi"/>
        </w:rPr>
        <w:t>referente</w:t>
      </w:r>
      <w:proofErr w:type="gramEnd"/>
      <w:r w:rsidR="00731398" w:rsidRPr="00404666">
        <w:rPr>
          <w:rFonts w:asciiTheme="minorHAnsi" w:hAnsiTheme="minorHAnsi" w:cstheme="minorHAnsi"/>
        </w:rPr>
        <w:t xml:space="preserve"> </w:t>
      </w:r>
      <w:r w:rsidR="008C4035" w:rsidRPr="00404666">
        <w:rPr>
          <w:rFonts w:asciiTheme="minorHAnsi" w:hAnsiTheme="minorHAnsi" w:cstheme="minorHAnsi"/>
        </w:rPr>
        <w:t>à verba para aquisição de uniforme n</w:t>
      </w:r>
      <w:r w:rsidR="00FD584E" w:rsidRPr="00404666">
        <w:rPr>
          <w:rFonts w:asciiTheme="minorHAnsi" w:hAnsiTheme="minorHAnsi" w:cstheme="minorHAnsi"/>
        </w:rPr>
        <w:t>o período de 2016</w:t>
      </w:r>
      <w:r w:rsidR="008C4035" w:rsidRPr="00404666">
        <w:rPr>
          <w:rFonts w:asciiTheme="minorHAnsi" w:hAnsiTheme="minorHAnsi" w:cstheme="minorHAnsi"/>
        </w:rPr>
        <w:t>.</w:t>
      </w:r>
    </w:p>
    <w:p w:rsidR="004F793D" w:rsidRPr="00404666" w:rsidRDefault="004F793D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</w:rPr>
      </w:pPr>
      <w:proofErr w:type="gramStart"/>
      <w:r w:rsidRPr="00404666">
        <w:rPr>
          <w:rFonts w:asciiTheme="minorHAnsi" w:hAnsiTheme="minorHAnsi" w:cstheme="minorHAnsi"/>
        </w:rPr>
        <w:t>Isto posto</w:t>
      </w:r>
      <w:proofErr w:type="gramEnd"/>
      <w:r w:rsidRPr="00404666">
        <w:rPr>
          <w:rFonts w:asciiTheme="minorHAnsi" w:hAnsiTheme="minorHAnsi" w:cstheme="minorHAnsi"/>
        </w:rPr>
        <w:t xml:space="preserve">, evoluímos os autos ao Gabinete da </w:t>
      </w:r>
      <w:r w:rsidRPr="00404666">
        <w:rPr>
          <w:rFonts w:asciiTheme="minorHAnsi" w:hAnsiTheme="minorHAnsi" w:cstheme="minorHAnsi"/>
          <w:b/>
        </w:rPr>
        <w:t>Controladora Geral do Estado</w:t>
      </w:r>
      <w:r w:rsidR="008C4035" w:rsidRPr="00404666">
        <w:rPr>
          <w:rFonts w:asciiTheme="minorHAnsi" w:hAnsiTheme="minorHAnsi" w:cstheme="minorHAnsi"/>
          <w:b/>
        </w:rPr>
        <w:t xml:space="preserve">, </w:t>
      </w:r>
      <w:r w:rsidR="008C4035" w:rsidRPr="00404666">
        <w:rPr>
          <w:rFonts w:asciiTheme="minorHAnsi" w:hAnsiTheme="minorHAnsi" w:cstheme="minorHAnsi"/>
        </w:rPr>
        <w:t>sugerindo a devolução ao CBM/AL para conhecimento</w:t>
      </w:r>
      <w:r w:rsidR="00E83648" w:rsidRPr="00404666">
        <w:rPr>
          <w:rFonts w:asciiTheme="minorHAnsi" w:hAnsiTheme="minorHAnsi" w:cstheme="minorHAnsi"/>
        </w:rPr>
        <w:t>,</w:t>
      </w:r>
      <w:r w:rsidR="008C4035" w:rsidRPr="00404666">
        <w:rPr>
          <w:rFonts w:asciiTheme="minorHAnsi" w:hAnsiTheme="minorHAnsi" w:cstheme="minorHAnsi"/>
        </w:rPr>
        <w:t xml:space="preserve"> informando </w:t>
      </w:r>
      <w:r w:rsidR="00E83648" w:rsidRPr="00404666">
        <w:rPr>
          <w:rFonts w:asciiTheme="minorHAnsi" w:hAnsiTheme="minorHAnsi" w:cstheme="minorHAnsi"/>
        </w:rPr>
        <w:t>que os documentos acostados no processo avalizam o pagamento</w:t>
      </w:r>
      <w:r w:rsidRPr="00404666">
        <w:rPr>
          <w:rFonts w:asciiTheme="minorHAnsi" w:hAnsiTheme="minorHAnsi" w:cstheme="minorHAnsi"/>
        </w:rPr>
        <w:t>.</w:t>
      </w:r>
    </w:p>
    <w:p w:rsidR="00ED5D6C" w:rsidRPr="00404666" w:rsidRDefault="00ED5D6C" w:rsidP="00404666">
      <w:pPr>
        <w:spacing w:after="0" w:line="240" w:lineRule="atLeast"/>
        <w:ind w:firstLine="708"/>
        <w:jc w:val="both"/>
        <w:rPr>
          <w:rFonts w:asciiTheme="minorHAnsi" w:hAnsiTheme="minorHAnsi" w:cstheme="minorHAnsi"/>
        </w:rPr>
      </w:pPr>
    </w:p>
    <w:p w:rsidR="00ED5D6C" w:rsidRPr="00404666" w:rsidRDefault="00ED5D6C" w:rsidP="00404666">
      <w:pPr>
        <w:spacing w:after="0" w:line="240" w:lineRule="atLeast"/>
        <w:jc w:val="center"/>
        <w:rPr>
          <w:rFonts w:asciiTheme="minorHAnsi" w:hAnsiTheme="minorHAnsi" w:cstheme="minorHAnsi"/>
          <w:bCs/>
        </w:rPr>
      </w:pPr>
      <w:r w:rsidRPr="00404666">
        <w:rPr>
          <w:rFonts w:asciiTheme="minorHAnsi" w:hAnsiTheme="minorHAnsi" w:cstheme="minorHAnsi"/>
          <w:bCs/>
        </w:rPr>
        <w:t xml:space="preserve">Maceió, </w:t>
      </w:r>
      <w:r w:rsidR="00FD584E" w:rsidRPr="00404666">
        <w:rPr>
          <w:rFonts w:asciiTheme="minorHAnsi" w:hAnsiTheme="minorHAnsi" w:cstheme="minorHAnsi"/>
          <w:bCs/>
        </w:rPr>
        <w:t>30</w:t>
      </w:r>
      <w:r w:rsidRPr="00404666">
        <w:rPr>
          <w:rFonts w:asciiTheme="minorHAnsi" w:hAnsiTheme="minorHAnsi" w:cstheme="minorHAnsi"/>
          <w:bCs/>
        </w:rPr>
        <w:t xml:space="preserve"> de </w:t>
      </w:r>
      <w:r w:rsidR="00FD584E" w:rsidRPr="00404666">
        <w:rPr>
          <w:rFonts w:asciiTheme="minorHAnsi" w:hAnsiTheme="minorHAnsi" w:cstheme="minorHAnsi"/>
          <w:bCs/>
        </w:rPr>
        <w:t>junho</w:t>
      </w:r>
      <w:r w:rsidRPr="00404666">
        <w:rPr>
          <w:rFonts w:asciiTheme="minorHAnsi" w:hAnsiTheme="minorHAnsi" w:cstheme="minorHAnsi"/>
          <w:bCs/>
        </w:rPr>
        <w:t xml:space="preserve"> de 2016.</w:t>
      </w:r>
    </w:p>
    <w:p w:rsidR="00ED5D6C" w:rsidRPr="00404666" w:rsidRDefault="00ED5D6C" w:rsidP="00404666">
      <w:pPr>
        <w:spacing w:after="0" w:line="240" w:lineRule="atLeast"/>
        <w:rPr>
          <w:rFonts w:asciiTheme="minorHAnsi" w:hAnsiTheme="minorHAnsi" w:cstheme="minorHAnsi"/>
          <w:bCs/>
          <w:color w:val="FF0000"/>
        </w:rPr>
      </w:pPr>
    </w:p>
    <w:p w:rsidR="00ED5D6C" w:rsidRPr="00404666" w:rsidRDefault="00FD584E" w:rsidP="00404666">
      <w:pPr>
        <w:spacing w:after="0" w:line="240" w:lineRule="atLeast"/>
        <w:jc w:val="center"/>
        <w:rPr>
          <w:rFonts w:asciiTheme="minorHAnsi" w:hAnsiTheme="minorHAnsi" w:cstheme="minorHAnsi"/>
          <w:lang w:eastAsia="ar-SA"/>
        </w:rPr>
      </w:pPr>
      <w:r w:rsidRPr="00404666">
        <w:rPr>
          <w:rFonts w:asciiTheme="minorHAnsi" w:hAnsiTheme="minorHAnsi" w:cstheme="minorHAnsi"/>
          <w:lang w:eastAsia="ar-SA"/>
        </w:rPr>
        <w:t>Márcia Soares Costa Correia</w:t>
      </w:r>
    </w:p>
    <w:p w:rsidR="00ED5D6C" w:rsidRPr="00404666" w:rsidRDefault="00ED5D6C" w:rsidP="00404666">
      <w:pPr>
        <w:spacing w:after="0" w:line="240" w:lineRule="atLeast"/>
        <w:jc w:val="center"/>
        <w:rPr>
          <w:rFonts w:asciiTheme="minorHAnsi" w:hAnsiTheme="minorHAnsi" w:cstheme="minorHAnsi"/>
          <w:b/>
        </w:rPr>
      </w:pPr>
      <w:r w:rsidRPr="00404666">
        <w:rPr>
          <w:rFonts w:asciiTheme="minorHAnsi" w:hAnsiTheme="minorHAnsi" w:cstheme="minorHAnsi"/>
          <w:b/>
        </w:rPr>
        <w:t xml:space="preserve">Assessora de Controle Interno/ Matrícula nº </w:t>
      </w:r>
      <w:r w:rsidR="00FD584E" w:rsidRPr="00404666">
        <w:rPr>
          <w:rFonts w:asciiTheme="minorHAnsi" w:hAnsiTheme="minorHAnsi" w:cstheme="minorHAnsi"/>
          <w:b/>
        </w:rPr>
        <w:t>101-5</w:t>
      </w:r>
    </w:p>
    <w:p w:rsidR="00ED5D6C" w:rsidRPr="00404666" w:rsidRDefault="00ED5D6C" w:rsidP="00404666">
      <w:pPr>
        <w:tabs>
          <w:tab w:val="left" w:pos="283"/>
        </w:tabs>
        <w:spacing w:after="0" w:line="240" w:lineRule="atLeast"/>
        <w:rPr>
          <w:rFonts w:asciiTheme="minorHAnsi" w:hAnsiTheme="minorHAnsi" w:cstheme="minorHAnsi"/>
        </w:rPr>
      </w:pPr>
    </w:p>
    <w:p w:rsidR="00ED5D6C" w:rsidRPr="00404666" w:rsidRDefault="00ED5D6C" w:rsidP="00404666">
      <w:pPr>
        <w:tabs>
          <w:tab w:val="left" w:pos="283"/>
        </w:tabs>
        <w:spacing w:after="0" w:line="240" w:lineRule="atLeast"/>
        <w:rPr>
          <w:rFonts w:asciiTheme="minorHAnsi" w:hAnsiTheme="minorHAnsi" w:cstheme="minorHAnsi"/>
          <w:b/>
        </w:rPr>
      </w:pPr>
      <w:r w:rsidRPr="00404666">
        <w:rPr>
          <w:rFonts w:asciiTheme="minorHAnsi" w:hAnsiTheme="minorHAnsi" w:cstheme="minorHAnsi"/>
          <w:b/>
        </w:rPr>
        <w:t>De acordo:</w:t>
      </w:r>
    </w:p>
    <w:p w:rsidR="00ED5D6C" w:rsidRPr="00404666" w:rsidRDefault="00ED5D6C" w:rsidP="00404666">
      <w:pPr>
        <w:tabs>
          <w:tab w:val="left" w:pos="0"/>
        </w:tabs>
        <w:spacing w:after="0" w:line="240" w:lineRule="atLeast"/>
        <w:jc w:val="center"/>
        <w:rPr>
          <w:rFonts w:asciiTheme="minorHAnsi" w:hAnsiTheme="minorHAnsi" w:cstheme="minorHAnsi"/>
        </w:rPr>
      </w:pPr>
    </w:p>
    <w:p w:rsidR="00ED5D6C" w:rsidRPr="00404666" w:rsidRDefault="00ED5D6C" w:rsidP="00404666">
      <w:pPr>
        <w:tabs>
          <w:tab w:val="left" w:pos="0"/>
        </w:tabs>
        <w:spacing w:after="0" w:line="240" w:lineRule="atLeast"/>
        <w:jc w:val="center"/>
        <w:rPr>
          <w:rFonts w:asciiTheme="minorHAnsi" w:hAnsiTheme="minorHAnsi" w:cstheme="minorHAnsi"/>
        </w:rPr>
      </w:pPr>
      <w:r w:rsidRPr="00404666">
        <w:rPr>
          <w:rFonts w:asciiTheme="minorHAnsi" w:hAnsiTheme="minorHAnsi" w:cstheme="minorHAnsi"/>
        </w:rPr>
        <w:t xml:space="preserve">Adriana Andrade Araújo </w:t>
      </w:r>
    </w:p>
    <w:p w:rsidR="00ED5D6C" w:rsidRPr="00404666" w:rsidRDefault="00ED5D6C" w:rsidP="00404666">
      <w:pPr>
        <w:tabs>
          <w:tab w:val="left" w:pos="0"/>
        </w:tabs>
        <w:spacing w:after="0" w:line="240" w:lineRule="atLeast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04666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404666" w:rsidRDefault="00493668" w:rsidP="00404666">
      <w:pPr>
        <w:spacing w:after="0" w:line="240" w:lineRule="atLeast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493668" w:rsidRPr="00404666" w:rsidSect="00F1222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F76" w:rsidRDefault="00394F76" w:rsidP="003068B9">
      <w:pPr>
        <w:spacing w:after="0" w:line="240" w:lineRule="auto"/>
      </w:pPr>
      <w:r>
        <w:separator/>
      </w:r>
    </w:p>
  </w:endnote>
  <w:endnote w:type="continuationSeparator" w:id="0">
    <w:p w:rsidR="00394F76" w:rsidRDefault="00394F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F76" w:rsidRDefault="00394F76" w:rsidP="003068B9">
      <w:pPr>
        <w:spacing w:after="0" w:line="240" w:lineRule="auto"/>
      </w:pPr>
      <w:r>
        <w:separator/>
      </w:r>
    </w:p>
  </w:footnote>
  <w:footnote w:type="continuationSeparator" w:id="0">
    <w:p w:rsidR="00394F76" w:rsidRDefault="00394F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214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1pt;margin-top:17.8pt;width:33pt;height:22.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0466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34275" cy="1320800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32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553C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86D82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4892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F76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6FA"/>
    <w:rsid w:val="003D3F39"/>
    <w:rsid w:val="003D5B21"/>
    <w:rsid w:val="003D6263"/>
    <w:rsid w:val="003F0B40"/>
    <w:rsid w:val="003F2978"/>
    <w:rsid w:val="0040154B"/>
    <w:rsid w:val="00404666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56F1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4F8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0BC"/>
    <w:rsid w:val="00A80E1A"/>
    <w:rsid w:val="00A81C64"/>
    <w:rsid w:val="00A8234B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3C4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2229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584E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D3F37-6BDD-433F-AB30-BA243D8E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2016-11-01T13:27:00Z</cp:lastPrinted>
  <dcterms:created xsi:type="dcterms:W3CDTF">2017-06-30T12:49:00Z</dcterms:created>
  <dcterms:modified xsi:type="dcterms:W3CDTF">2017-06-30T17:49:00Z</dcterms:modified>
</cp:coreProperties>
</file>