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F718AF">
        <w:rPr>
          <w:rFonts w:asciiTheme="minorHAnsi" w:hAnsiTheme="minorHAnsi" w:cstheme="minorHAnsi"/>
          <w:bCs/>
        </w:rPr>
        <w:t>009341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718AF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718AF">
        <w:rPr>
          <w:rFonts w:asciiTheme="minorHAnsi" w:hAnsiTheme="minorHAnsi" w:cstheme="minorHAnsi"/>
          <w:b/>
          <w:bCs/>
        </w:rPr>
        <w:t>009341</w:t>
      </w:r>
      <w:r w:rsidRPr="00B80869">
        <w:rPr>
          <w:rFonts w:asciiTheme="minorHAnsi" w:hAnsiTheme="minorHAnsi" w:cstheme="minorHAnsi"/>
          <w:b/>
          <w:bCs/>
        </w:rPr>
        <w:t>/201</w:t>
      </w:r>
      <w:r w:rsidR="00F718AF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718AF">
        <w:rPr>
          <w:rFonts w:asciiTheme="minorHAnsi" w:hAnsiTheme="minorHAnsi" w:cstheme="minorHAnsi"/>
        </w:rPr>
        <w:t>38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>trinta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F718AF">
        <w:rPr>
          <w:rFonts w:asciiTheme="minorHAnsi" w:hAnsiTheme="minorHAnsi" w:cstheme="minorHAnsi"/>
          <w:b/>
          <w:bCs/>
        </w:rPr>
        <w:t>MUO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F718AF">
        <w:rPr>
          <w:rFonts w:asciiTheme="minorHAnsi" w:hAnsiTheme="minorHAnsi" w:cstheme="minorHAnsi"/>
          <w:b/>
          <w:bCs/>
        </w:rPr>
        <w:t>3725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F718AF">
        <w:rPr>
          <w:rFonts w:asciiTheme="minorHAnsi" w:hAnsiTheme="minorHAnsi" w:cstheme="minorHAnsi"/>
        </w:rPr>
        <w:t>7.008,00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>sete mil e oito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2000.009341/2014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D0210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11196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7D0210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D0210">
        <w:rPr>
          <w:rFonts w:asciiTheme="minorHAnsi" w:hAnsiTheme="minorHAnsi" w:cstheme="minorHAnsi"/>
          <w:b/>
        </w:rPr>
        <w:t>02.086.766/0001-66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  <w:r w:rsidR="007D0210">
        <w:rPr>
          <w:rFonts w:asciiTheme="minorHAnsi" w:hAnsiTheme="minorHAnsi" w:cstheme="minorHAnsi"/>
        </w:rPr>
        <w:t>D</w:t>
      </w:r>
      <w:r w:rsidR="00F11196" w:rsidRPr="00B80869">
        <w:rPr>
          <w:rFonts w:asciiTheme="minorHAnsi" w:hAnsiTheme="minorHAnsi" w:cstheme="minorHAnsi"/>
        </w:rPr>
        <w:t xml:space="preserve">estaque-se a </w:t>
      </w:r>
      <w:r w:rsidR="007D0210">
        <w:rPr>
          <w:rFonts w:asciiTheme="minorHAnsi" w:hAnsiTheme="minorHAnsi" w:cstheme="minorHAnsi"/>
        </w:rPr>
        <w:t>apresentação</w:t>
      </w:r>
      <w:r w:rsidR="00F11196"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="007D0210" w:rsidRPr="007D0210">
        <w:rPr>
          <w:rFonts w:asciiTheme="minorHAnsi" w:hAnsiTheme="minorHAnsi" w:cstheme="minorHAnsi"/>
          <w:b/>
        </w:rPr>
        <w:t>R$ 7.008,00 (sete mil e oito reais)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7D0210">
        <w:rPr>
          <w:rFonts w:asciiTheme="minorHAnsi" w:hAnsiTheme="minorHAnsi" w:cstheme="minorHAnsi"/>
        </w:rPr>
        <w:t>268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7D0210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04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D0102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DD010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1313CB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978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DD0102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6A5353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979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D0102">
        <w:rPr>
          <w:rFonts w:asciiTheme="minorHAnsi" w:hAnsiTheme="minorHAnsi" w:cstheme="minorHAnsi"/>
        </w:rPr>
        <w:t>21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</w:t>
      </w:r>
      <w:r w:rsidR="00DD0102">
        <w:rPr>
          <w:rFonts w:asciiTheme="minorHAnsi" w:hAnsiTheme="minorHAnsi" w:cstheme="minorHAnsi"/>
        </w:rPr>
        <w:t>).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DD0102">
        <w:rPr>
          <w:rFonts w:asciiTheme="minorHAnsi" w:hAnsiTheme="minorHAnsi" w:cstheme="minorHAnsi"/>
          <w:b/>
        </w:rPr>
        <w:t>281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D0102">
        <w:rPr>
          <w:rFonts w:asciiTheme="minorHAnsi" w:hAnsiTheme="minorHAnsi" w:cstheme="minorHAnsi"/>
        </w:rPr>
        <w:t>25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D0102">
        <w:rPr>
          <w:rFonts w:asciiTheme="minorHAnsi" w:hAnsiTheme="minorHAnsi" w:cstheme="minorHAnsi"/>
        </w:rPr>
        <w:t>04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DD0102">
        <w:rPr>
          <w:rFonts w:asciiTheme="minorHAnsi" w:hAnsiTheme="minorHAnsi" w:cstheme="minorHAnsi"/>
          <w:b/>
        </w:rPr>
        <w:t>720</w:t>
      </w:r>
      <w:r w:rsidR="001313CB">
        <w:rPr>
          <w:rFonts w:asciiTheme="minorHAnsi" w:hAnsiTheme="minorHAnsi" w:cstheme="minorHAnsi"/>
        </w:rPr>
        <w:t xml:space="preserve"> (fl. </w:t>
      </w:r>
      <w:r w:rsidR="00DD0102">
        <w:rPr>
          <w:rFonts w:asciiTheme="minorHAnsi" w:hAnsiTheme="minorHAnsi" w:cstheme="minorHAnsi"/>
        </w:rPr>
        <w:t>27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D0102">
        <w:rPr>
          <w:rFonts w:asciiTheme="minorHAnsi" w:hAnsiTheme="minorHAnsi" w:cstheme="minorHAnsi"/>
        </w:rPr>
        <w:t>14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>Amaro Elias A. Cedrim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D0102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9B" w:rsidRDefault="005E119B" w:rsidP="003068B9">
      <w:pPr>
        <w:spacing w:after="0" w:line="240" w:lineRule="auto"/>
      </w:pPr>
      <w:r>
        <w:separator/>
      </w:r>
    </w:p>
  </w:endnote>
  <w:endnote w:type="continuationSeparator" w:id="1">
    <w:p w:rsidR="005E119B" w:rsidRDefault="005E11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9B" w:rsidRDefault="005E119B" w:rsidP="003068B9">
      <w:pPr>
        <w:spacing w:after="0" w:line="240" w:lineRule="auto"/>
      </w:pPr>
      <w:r>
        <w:separator/>
      </w:r>
    </w:p>
  </w:footnote>
  <w:footnote w:type="continuationSeparator" w:id="1">
    <w:p w:rsidR="005E119B" w:rsidRDefault="005E11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666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1753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2017-10-31T18:02:00Z</dcterms:created>
  <dcterms:modified xsi:type="dcterms:W3CDTF">2017-10-31T18:22:00Z</dcterms:modified>
</cp:coreProperties>
</file>