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813F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3F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813F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3813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813F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3813F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3813FA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3813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3813FA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3813F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813FA" w:rsidRPr="003813FA">
        <w:rPr>
          <w:rFonts w:asciiTheme="minorHAnsi" w:hAnsiTheme="minorHAnsi" w:cstheme="minorHAnsi"/>
          <w:bCs/>
          <w:sz w:val="21"/>
          <w:szCs w:val="21"/>
        </w:rPr>
        <w:t>023567</w:t>
      </w:r>
      <w:r w:rsidR="0017202D" w:rsidRPr="003813F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3813FA">
        <w:rPr>
          <w:rFonts w:asciiTheme="minorHAnsi" w:hAnsiTheme="minorHAnsi" w:cstheme="minorHAnsi"/>
          <w:bCs/>
          <w:sz w:val="21"/>
          <w:szCs w:val="21"/>
        </w:rPr>
        <w:t>201</w:t>
      </w:r>
      <w:r w:rsidR="009B68F2" w:rsidRPr="003813FA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3813F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3F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813F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3813F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B68F2" w:rsidRPr="003813FA">
        <w:rPr>
          <w:rFonts w:asciiTheme="minorHAnsi" w:hAnsiTheme="minorHAnsi" w:cstheme="minorHAnsi"/>
          <w:bCs/>
          <w:sz w:val="21"/>
          <w:szCs w:val="21"/>
        </w:rPr>
        <w:t>SESAU – COORDENADORA SETORIAL DA GESTÃO ADMINISTRATIVA E LOGISTICA</w:t>
      </w:r>
      <w:r w:rsidR="004035A4" w:rsidRPr="003813F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3813F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813F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B68F2" w:rsidRPr="003813F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8202C" w:rsidRPr="003813FA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3813FA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3813F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3813FA" w:rsidRPr="003813F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9B68F2" w:rsidRPr="003813FA">
        <w:rPr>
          <w:rFonts w:asciiTheme="minorHAnsi" w:hAnsiTheme="minorHAnsi" w:cstheme="minorHAnsi"/>
          <w:bCs/>
          <w:sz w:val="21"/>
          <w:szCs w:val="21"/>
        </w:rPr>
        <w:t>GENEROS ALIMENTICIOS</w:t>
      </w:r>
      <w:r w:rsidR="003813FA" w:rsidRPr="003813FA">
        <w:rPr>
          <w:rFonts w:asciiTheme="minorHAnsi" w:hAnsiTheme="minorHAnsi" w:cstheme="minorHAnsi"/>
          <w:bCs/>
          <w:sz w:val="21"/>
          <w:szCs w:val="21"/>
        </w:rPr>
        <w:t xml:space="preserve"> – PERECÍVEL (NÃO ESTOCÁVEL)</w:t>
      </w:r>
    </w:p>
    <w:p w:rsidR="003C0E5D" w:rsidRPr="003813F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C013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C013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C013F">
        <w:rPr>
          <w:rFonts w:asciiTheme="minorHAnsi" w:hAnsiTheme="minorHAnsi" w:cstheme="minorHAnsi"/>
          <w:sz w:val="21"/>
          <w:szCs w:val="21"/>
        </w:rPr>
        <w:t>o</w:t>
      </w:r>
      <w:r w:rsidRPr="004C013F">
        <w:rPr>
          <w:rFonts w:asciiTheme="minorHAnsi" w:hAnsiTheme="minorHAnsi" w:cstheme="minorHAnsi"/>
          <w:sz w:val="21"/>
          <w:szCs w:val="21"/>
        </w:rPr>
        <w:t xml:space="preserve"> </w:t>
      </w:r>
      <w:r w:rsidRPr="004C013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4C013F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4C013F" w:rsidRPr="004C013F">
        <w:rPr>
          <w:rFonts w:asciiTheme="minorHAnsi" w:hAnsiTheme="minorHAnsi" w:cstheme="minorHAnsi"/>
          <w:b/>
          <w:bCs/>
          <w:sz w:val="21"/>
          <w:szCs w:val="21"/>
        </w:rPr>
        <w:t>023567</w:t>
      </w:r>
      <w:r w:rsidR="00904DB5" w:rsidRPr="004C013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68F2" w:rsidRPr="004C013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14693" w:rsidRPr="004C013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C013F">
        <w:rPr>
          <w:rFonts w:asciiTheme="minorHAnsi" w:hAnsiTheme="minorHAnsi" w:cstheme="minorHAnsi"/>
          <w:sz w:val="21"/>
          <w:szCs w:val="21"/>
        </w:rPr>
        <w:t>em 0</w:t>
      </w:r>
      <w:r w:rsidR="00475A79" w:rsidRPr="004C013F">
        <w:rPr>
          <w:rFonts w:asciiTheme="minorHAnsi" w:hAnsiTheme="minorHAnsi" w:cstheme="minorHAnsi"/>
          <w:sz w:val="21"/>
          <w:szCs w:val="21"/>
        </w:rPr>
        <w:t>1</w:t>
      </w:r>
      <w:r w:rsidRPr="004C013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C013F">
        <w:rPr>
          <w:rFonts w:asciiTheme="minorHAnsi" w:hAnsiTheme="minorHAnsi" w:cstheme="minorHAnsi"/>
          <w:sz w:val="21"/>
          <w:szCs w:val="21"/>
        </w:rPr>
        <w:t>um</w:t>
      </w:r>
      <w:r w:rsidR="00226ED4" w:rsidRPr="004C013F">
        <w:rPr>
          <w:rFonts w:asciiTheme="minorHAnsi" w:hAnsiTheme="minorHAnsi" w:cstheme="minorHAnsi"/>
          <w:sz w:val="21"/>
          <w:szCs w:val="21"/>
        </w:rPr>
        <w:t>)</w:t>
      </w:r>
      <w:r w:rsidRPr="004C013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C013F" w:rsidRPr="004C013F">
        <w:rPr>
          <w:rFonts w:asciiTheme="minorHAnsi" w:hAnsiTheme="minorHAnsi" w:cstheme="minorHAnsi"/>
          <w:sz w:val="21"/>
          <w:szCs w:val="21"/>
        </w:rPr>
        <w:t>53</w:t>
      </w:r>
      <w:r w:rsidR="00940394" w:rsidRPr="004C013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C013F">
        <w:rPr>
          <w:rFonts w:asciiTheme="minorHAnsi" w:hAnsiTheme="minorHAnsi" w:cstheme="minorHAnsi"/>
          <w:sz w:val="21"/>
          <w:szCs w:val="21"/>
        </w:rPr>
        <w:t>(</w:t>
      </w:r>
      <w:r w:rsidR="004C013F" w:rsidRPr="004C013F">
        <w:rPr>
          <w:rFonts w:asciiTheme="minorHAnsi" w:hAnsiTheme="minorHAnsi" w:cstheme="minorHAnsi"/>
          <w:sz w:val="21"/>
          <w:szCs w:val="21"/>
        </w:rPr>
        <w:t>cinquenta e três</w:t>
      </w:r>
      <w:r w:rsidR="00A60EE3" w:rsidRPr="004C013F">
        <w:rPr>
          <w:rFonts w:asciiTheme="minorHAnsi" w:hAnsiTheme="minorHAnsi" w:cstheme="minorHAnsi"/>
          <w:sz w:val="21"/>
          <w:szCs w:val="21"/>
        </w:rPr>
        <w:t>)</w:t>
      </w:r>
      <w:r w:rsidRPr="004C013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C013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4C013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C013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C013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C013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4C013F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9B68F2" w:rsidRPr="004C013F">
        <w:rPr>
          <w:rFonts w:asciiTheme="minorHAnsi" w:hAnsiTheme="minorHAnsi" w:cstheme="minorHAnsi"/>
          <w:sz w:val="21"/>
          <w:szCs w:val="21"/>
        </w:rPr>
        <w:t>gêneros alimentícios</w:t>
      </w:r>
      <w:r w:rsidR="0017202D" w:rsidRPr="004C013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C013F">
        <w:rPr>
          <w:rFonts w:asciiTheme="minorHAnsi" w:hAnsiTheme="minorHAnsi" w:cstheme="minorHAnsi"/>
          <w:sz w:val="21"/>
          <w:szCs w:val="21"/>
        </w:rPr>
        <w:t>adquirido</w:t>
      </w:r>
      <w:r w:rsidR="0017202D" w:rsidRPr="004C013F">
        <w:rPr>
          <w:rFonts w:asciiTheme="minorHAnsi" w:hAnsiTheme="minorHAnsi" w:cstheme="minorHAnsi"/>
          <w:sz w:val="21"/>
          <w:szCs w:val="21"/>
        </w:rPr>
        <w:t>s</w:t>
      </w:r>
      <w:r w:rsidR="00FA0070" w:rsidRPr="004C013F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4C013F">
        <w:rPr>
          <w:rFonts w:asciiTheme="minorHAnsi" w:hAnsiTheme="minorHAnsi" w:cstheme="minorHAnsi"/>
          <w:sz w:val="21"/>
          <w:szCs w:val="21"/>
        </w:rPr>
        <w:t>,</w:t>
      </w:r>
      <w:r w:rsidR="00FA0070" w:rsidRPr="004C013F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4C0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265D" w:rsidRPr="004C013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17202D" w:rsidRPr="004C0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C013F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4C013F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4C0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265D" w:rsidRPr="004C013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="00A06A2B" w:rsidRPr="004C013F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4C013F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4C013F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4C013F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4C013F">
        <w:rPr>
          <w:rFonts w:asciiTheme="minorHAnsi" w:hAnsiTheme="minorHAnsi" w:cstheme="minorHAnsi"/>
          <w:b/>
          <w:sz w:val="21"/>
          <w:szCs w:val="21"/>
        </w:rPr>
        <w:t>R$</w:t>
      </w:r>
      <w:r w:rsidR="004C013F" w:rsidRPr="004C013F">
        <w:rPr>
          <w:rFonts w:asciiTheme="minorHAnsi" w:hAnsiTheme="minorHAnsi" w:cstheme="minorHAnsi"/>
          <w:b/>
          <w:sz w:val="21"/>
          <w:szCs w:val="21"/>
        </w:rPr>
        <w:t>4.382,50</w:t>
      </w:r>
      <w:r w:rsidR="00376D2C" w:rsidRPr="004C013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4C013F" w:rsidRPr="004C013F">
        <w:rPr>
          <w:rFonts w:asciiTheme="minorHAnsi" w:hAnsiTheme="minorHAnsi" w:cstheme="minorHAnsi"/>
          <w:b/>
          <w:sz w:val="21"/>
          <w:szCs w:val="21"/>
        </w:rPr>
        <w:t>quatro mil, trezentos e oitenta e</w:t>
      </w:r>
      <w:proofErr w:type="gramEnd"/>
      <w:r w:rsidR="004C013F" w:rsidRPr="004C013F">
        <w:rPr>
          <w:rFonts w:asciiTheme="minorHAnsi" w:hAnsiTheme="minorHAnsi" w:cstheme="minorHAnsi"/>
          <w:b/>
          <w:sz w:val="21"/>
          <w:szCs w:val="21"/>
        </w:rPr>
        <w:t xml:space="preserve"> dois reais e cinquenta centavos</w:t>
      </w:r>
      <w:r w:rsidR="00C839BB" w:rsidRPr="004C013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C013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3813F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>Conforme aduzido nos autos, a contratação está consubstanciada no art. 24, da Lei nº 8666/93</w:t>
      </w:r>
      <w:r w:rsidR="00CE3230" w:rsidRPr="003813FA">
        <w:rPr>
          <w:rFonts w:asciiTheme="minorHAnsi" w:hAnsiTheme="minorHAnsi" w:cstheme="minorHAnsi"/>
          <w:color w:val="FF0000"/>
          <w:sz w:val="21"/>
          <w:szCs w:val="21"/>
        </w:rPr>
        <w:t>. Entretanto,</w:t>
      </w:r>
      <w:r w:rsidR="00740F8A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813F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>Nesse sentido, em atendimento à determinação emanada do Gabinete da Controladora Geral do Estado</w:t>
      </w:r>
      <w:r w:rsidR="0018664B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(fl. </w:t>
      </w:r>
      <w:r w:rsidR="006D63FC" w:rsidRPr="003813FA">
        <w:rPr>
          <w:rFonts w:asciiTheme="minorHAnsi" w:hAnsiTheme="minorHAnsi" w:cstheme="minorHAnsi"/>
          <w:color w:val="FF0000"/>
          <w:sz w:val="21"/>
          <w:szCs w:val="21"/>
        </w:rPr>
        <w:t>67</w:t>
      </w:r>
      <w:r w:rsidR="0018664B" w:rsidRPr="003813FA">
        <w:rPr>
          <w:rFonts w:asciiTheme="minorHAnsi" w:hAnsiTheme="minorHAnsi" w:cstheme="minorHAnsi"/>
          <w:color w:val="FF0000"/>
          <w:sz w:val="21"/>
          <w:szCs w:val="21"/>
        </w:rPr>
        <w:t>)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, passamos à análise técnica dos autos</w:t>
      </w:r>
      <w:r w:rsidR="00165775" w:rsidRPr="003813FA">
        <w:rPr>
          <w:rFonts w:asciiTheme="minorHAnsi" w:hAnsiTheme="minorHAnsi" w:cstheme="minorHAnsi"/>
          <w:color w:val="FF0000"/>
          <w:sz w:val="21"/>
          <w:szCs w:val="21"/>
        </w:rPr>
        <w:t>, a qual se r</w:t>
      </w:r>
      <w:r w:rsidR="00D34EB0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estringiu à instrução do processo de despesa, </w:t>
      </w:r>
      <w:r w:rsidR="00D34EB0" w:rsidRPr="003813FA">
        <w:rPr>
          <w:rStyle w:val="Forte"/>
          <w:rFonts w:asciiTheme="minorHAnsi" w:hAnsiTheme="minorHAnsi" w:cstheme="minorHAnsi"/>
          <w:b w:val="0"/>
          <w:color w:val="FF000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Descreve-se a seguir o resultado do exame efetuado no referido processo:</w:t>
      </w:r>
    </w:p>
    <w:p w:rsidR="00275210" w:rsidRPr="003813FA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1 – DOCUMENTOS</w:t>
      </w:r>
      <w:proofErr w:type="gramEnd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DIVERSOS ASSINADOS PELA MESMA SERVIDORA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Constata-se </w:t>
      </w:r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solicitação inicial </w:t>
      </w:r>
      <w:proofErr w:type="spellStart"/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>Memo</w:t>
      </w:r>
      <w:proofErr w:type="spellEnd"/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nº </w:t>
      </w:r>
      <w:r w:rsidR="00A07C48" w:rsidRPr="003813FA">
        <w:rPr>
          <w:rFonts w:asciiTheme="minorHAnsi" w:hAnsiTheme="minorHAnsi" w:cstheme="minorHAnsi"/>
          <w:color w:val="FF0000"/>
          <w:sz w:val="21"/>
          <w:szCs w:val="21"/>
        </w:rPr>
        <w:t>11</w:t>
      </w:r>
      <w:r w:rsidR="00A46CB7" w:rsidRPr="003813FA">
        <w:rPr>
          <w:rFonts w:asciiTheme="minorHAnsi" w:hAnsiTheme="minorHAnsi" w:cstheme="minorHAnsi"/>
          <w:color w:val="FF0000"/>
          <w:sz w:val="21"/>
          <w:szCs w:val="21"/>
        </w:rPr>
        <w:t>12</w:t>
      </w:r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>/2015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(</w:t>
      </w:r>
      <w:r w:rsidR="00A07C48" w:rsidRPr="003813FA">
        <w:rPr>
          <w:rFonts w:asciiTheme="minorHAnsi" w:hAnsiTheme="minorHAnsi" w:cstheme="minorHAnsi"/>
          <w:color w:val="FF0000"/>
          <w:sz w:val="21"/>
          <w:szCs w:val="21"/>
        </w:rPr>
        <w:t>2</w:t>
      </w:r>
      <w:r w:rsidR="00A46CB7" w:rsidRPr="003813FA">
        <w:rPr>
          <w:rFonts w:asciiTheme="minorHAnsi" w:hAnsiTheme="minorHAnsi" w:cstheme="minorHAnsi"/>
          <w:color w:val="FF0000"/>
          <w:sz w:val="21"/>
          <w:szCs w:val="21"/>
        </w:rPr>
        <w:t>3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/</w:t>
      </w:r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>1</w:t>
      </w:r>
      <w:r w:rsidR="00A07C48" w:rsidRPr="003813FA">
        <w:rPr>
          <w:rFonts w:asciiTheme="minorHAnsi" w:hAnsiTheme="minorHAnsi" w:cstheme="minorHAnsi"/>
          <w:color w:val="FF0000"/>
          <w:sz w:val="21"/>
          <w:szCs w:val="21"/>
        </w:rPr>
        <w:t>0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/201</w:t>
      </w:r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>5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), </w:t>
      </w:r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Termo de Referência (sem data),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encaminhamento para cotação de preços (</w:t>
      </w:r>
      <w:r w:rsidR="00DF72EC" w:rsidRPr="003813FA">
        <w:rPr>
          <w:rFonts w:asciiTheme="minorHAnsi" w:hAnsiTheme="minorHAnsi" w:cstheme="minorHAnsi"/>
          <w:color w:val="FF0000"/>
          <w:sz w:val="21"/>
          <w:szCs w:val="21"/>
        </w:rPr>
        <w:t>2</w:t>
      </w:r>
      <w:r w:rsidR="00A46CB7" w:rsidRPr="003813FA">
        <w:rPr>
          <w:rFonts w:asciiTheme="minorHAnsi" w:hAnsiTheme="minorHAnsi" w:cstheme="minorHAnsi"/>
          <w:color w:val="FF0000"/>
          <w:sz w:val="21"/>
          <w:szCs w:val="21"/>
        </w:rPr>
        <w:t>3</w:t>
      </w:r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>/1</w:t>
      </w:r>
      <w:r w:rsidR="00DF72EC" w:rsidRPr="003813FA">
        <w:rPr>
          <w:rFonts w:asciiTheme="minorHAnsi" w:hAnsiTheme="minorHAnsi" w:cstheme="minorHAnsi"/>
          <w:color w:val="FF0000"/>
          <w:sz w:val="21"/>
          <w:szCs w:val="21"/>
        </w:rPr>
        <w:t>0</w:t>
      </w:r>
      <w:r w:rsidR="001102D1" w:rsidRPr="003813FA">
        <w:rPr>
          <w:rFonts w:asciiTheme="minorHAnsi" w:hAnsiTheme="minorHAnsi" w:cstheme="minorHAnsi"/>
          <w:color w:val="FF0000"/>
          <w:sz w:val="21"/>
          <w:szCs w:val="21"/>
        </w:rPr>
        <w:t>/2015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), </w:t>
      </w:r>
      <w:r w:rsidR="00DF72EC" w:rsidRPr="003813FA">
        <w:rPr>
          <w:rFonts w:asciiTheme="minorHAnsi" w:hAnsiTheme="minorHAnsi" w:cstheme="minorHAnsi"/>
          <w:color w:val="FF0000"/>
          <w:sz w:val="21"/>
          <w:szCs w:val="21"/>
        </w:rPr>
        <w:t>Ordem de Fornecimento (</w:t>
      </w:r>
      <w:r w:rsidR="00DC76F8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10/01/2017)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e emissão de </w:t>
      </w:r>
      <w:proofErr w:type="spellStart"/>
      <w:r w:rsidRPr="003813FA">
        <w:rPr>
          <w:rFonts w:asciiTheme="minorHAnsi" w:hAnsiTheme="minorHAnsi" w:cstheme="minorHAnsi"/>
          <w:color w:val="FF0000"/>
          <w:sz w:val="21"/>
          <w:szCs w:val="21"/>
        </w:rPr>
        <w:t>Danfe</w:t>
      </w:r>
      <w:proofErr w:type="spellEnd"/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(</w:t>
      </w:r>
      <w:r w:rsidR="00DC76F8" w:rsidRPr="003813FA">
        <w:rPr>
          <w:rFonts w:asciiTheme="minorHAnsi" w:hAnsiTheme="minorHAnsi" w:cstheme="minorHAnsi"/>
          <w:color w:val="FF0000"/>
          <w:sz w:val="21"/>
          <w:szCs w:val="21"/>
        </w:rPr>
        <w:t>12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/01/2017), </w:t>
      </w:r>
      <w:r w:rsidR="00EC65C8" w:rsidRPr="003813FA">
        <w:rPr>
          <w:rFonts w:asciiTheme="minorHAnsi" w:hAnsiTheme="minorHAnsi" w:cstheme="minorHAnsi"/>
          <w:color w:val="FF0000"/>
          <w:sz w:val="21"/>
          <w:szCs w:val="21"/>
        </w:rPr>
        <w:t>assinados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pela, ora “Coordenadora de Administração e Logística”, ora “Superintendência Administrativa”, Mônica Lins Medeiros (fls. </w:t>
      </w:r>
      <w:r w:rsidR="00DC76F8" w:rsidRPr="003813FA">
        <w:rPr>
          <w:rFonts w:asciiTheme="minorHAnsi" w:hAnsiTheme="minorHAnsi" w:cstheme="minorHAnsi"/>
          <w:color w:val="FF0000"/>
          <w:sz w:val="21"/>
          <w:szCs w:val="21"/>
        </w:rPr>
        <w:t>02, 03, 04, 05, 06, 07, 08, 10, 48, 49, 55, 56 e 57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), respectivamente. </w:t>
      </w:r>
    </w:p>
    <w:p w:rsidR="005F18C2" w:rsidRPr="003813FA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DC76F8" w:rsidRPr="003813FA">
        <w:rPr>
          <w:rFonts w:asciiTheme="minorHAnsi" w:hAnsiTheme="minorHAnsi" w:cstheme="minorHAnsi"/>
          <w:color w:val="FF0000"/>
          <w:sz w:val="21"/>
          <w:szCs w:val="21"/>
          <w:u w:val="single"/>
        </w:rPr>
        <w:t>2</w:t>
      </w:r>
      <w:proofErr w:type="gramEnd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</w:t>
      </w:r>
      <w:r w:rsidR="00B222FB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FALTA DA APRESENTAÇÃO DAS </w:t>
      </w:r>
      <w:proofErr w:type="spellStart"/>
      <w:r w:rsidR="00B222FB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CND´s</w:t>
      </w:r>
      <w:proofErr w:type="spellEnd"/>
      <w:r w:rsidR="00B222FB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VÁLIDAS ANTES DA CONTRATAÇÃO</w:t>
      </w:r>
      <w:r w:rsidR="00B222FB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- 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Verifica-se documento intitulado </w:t>
      </w:r>
      <w:proofErr w:type="spellStart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>C.R.</w:t>
      </w:r>
      <w:proofErr w:type="spellEnd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C – Certificado de Registro Cadastral, emitido pela </w:t>
      </w:r>
      <w:r w:rsidR="00DF72EC" w:rsidRPr="003813FA">
        <w:rPr>
          <w:rFonts w:asciiTheme="minorHAnsi" w:hAnsiTheme="minorHAnsi" w:cstheme="minorHAnsi"/>
          <w:color w:val="FF0000"/>
          <w:sz w:val="21"/>
          <w:szCs w:val="21"/>
        </w:rPr>
        <w:t>Agente Administrativo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proofErr w:type="spellStart"/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Luci</w:t>
      </w:r>
      <w:proofErr w:type="spellEnd"/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Francisca dos Santos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>Pedroza</w:t>
      </w:r>
      <w:proofErr w:type="spellEnd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onde conclui que a melhor oferta para o erário foi da empresa </w:t>
      </w:r>
      <w:r w:rsidR="00DF72EC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RYULLER BELO SILVA ME (CNPJ nº 22.704.777/0001-70)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>CND´s</w:t>
      </w:r>
      <w:proofErr w:type="spellEnd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>. (fls.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34/35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>).</w:t>
      </w:r>
    </w:p>
    <w:p w:rsidR="005F18C2" w:rsidRPr="003813FA" w:rsidRDefault="009A773D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proofErr w:type="gramStart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3</w:t>
      </w:r>
      <w:r w:rsidR="005F18C2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NOTA</w:t>
      </w:r>
      <w:proofErr w:type="gramEnd"/>
      <w:r w:rsidR="005F18C2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DE EMPENHO SEM ASSINATURA DO GESTOR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- Destaca-se que a emissão da Nota de Empenho (</w:t>
      </w:r>
      <w:r w:rsidR="005F18C2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2016NE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20949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>), à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fl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40/46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FA4BB7" w:rsidRPr="003813FA">
        <w:rPr>
          <w:rFonts w:asciiTheme="minorHAnsi" w:hAnsiTheme="minorHAnsi" w:cstheme="minorHAnsi"/>
          <w:b/>
          <w:i/>
          <w:color w:val="FF0000"/>
          <w:sz w:val="21"/>
          <w:szCs w:val="21"/>
        </w:rPr>
        <w:t>não possui</w:t>
      </w:r>
      <w:r w:rsidR="005F18C2" w:rsidRPr="003813FA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assinatura da ordenadora de despesa,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assim como </w:t>
      </w:r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>Helion</w:t>
      </w:r>
      <w:proofErr w:type="spellEnd"/>
      <w:r w:rsidR="005F18C2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5F18C2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“</w:t>
      </w:r>
      <w:r w:rsidR="005F18C2" w:rsidRPr="003813FA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3813FA">
        <w:rPr>
          <w:rFonts w:asciiTheme="minorHAnsi" w:hAnsiTheme="minorHAnsi" w:cstheme="minorHAnsi"/>
          <w:b/>
          <w:i/>
          <w:color w:val="FF0000"/>
          <w:sz w:val="21"/>
          <w:szCs w:val="21"/>
        </w:rPr>
        <w:t>implemento</w:t>
      </w:r>
      <w:proofErr w:type="gramEnd"/>
      <w:r w:rsidR="005F18C2" w:rsidRPr="003813FA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de condição”</w:t>
      </w:r>
      <w:r w:rsidR="005F18C2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5F18C2" w:rsidRPr="003813F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>A Lei nº 4.320/1964 define a liquidação de despesas como sendo</w:t>
      </w:r>
    </w:p>
    <w:p w:rsidR="005F18C2" w:rsidRPr="003813FA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“</w:t>
      </w:r>
      <w:r w:rsidRPr="003813FA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3813F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>Ademais, a liquidação da despesa pública será processada com base nos seguintes documentos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: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I – contrato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, ajuste ou acordo específico; II – nota de empenho; III – comprovantes do material ou da efetiva prestação dos serviços.</w:t>
      </w:r>
    </w:p>
    <w:p w:rsidR="00A11FE5" w:rsidRPr="003813FA" w:rsidRDefault="001C3DBD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4</w:t>
      </w:r>
      <w:r w:rsidR="00A11FE5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DOCUMENTO</w:t>
      </w:r>
      <w:proofErr w:type="gramEnd"/>
      <w:r w:rsidR="00A11FE5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AUXILIAR DA NOTA FISCAL ELETRÔNICA - DANFE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– À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fl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55/57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dos autos apresenta-se a cópia do DANFE nº 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152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da Empresa </w:t>
      </w:r>
      <w:r w:rsidR="00EA340E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RYULLER BELO SILVA ME (CNPJ nº 22.704.777/0001-70)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datado de </w:t>
      </w:r>
      <w:r w:rsidR="00FA4BB7" w:rsidRPr="003813FA">
        <w:rPr>
          <w:rFonts w:asciiTheme="minorHAnsi" w:hAnsiTheme="minorHAnsi" w:cstheme="minorHAnsi"/>
          <w:color w:val="FF0000"/>
          <w:sz w:val="21"/>
          <w:szCs w:val="21"/>
        </w:rPr>
        <w:t>1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2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>/0</w:t>
      </w:r>
      <w:r w:rsidR="00FA4BB7" w:rsidRPr="003813FA">
        <w:rPr>
          <w:rFonts w:asciiTheme="minorHAnsi" w:hAnsiTheme="minorHAnsi" w:cstheme="minorHAnsi"/>
          <w:color w:val="FF0000"/>
          <w:sz w:val="21"/>
          <w:szCs w:val="21"/>
        </w:rPr>
        <w:t>1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/2017, atestada em </w:t>
      </w:r>
      <w:r w:rsidR="00FA4BB7" w:rsidRPr="003813FA">
        <w:rPr>
          <w:rFonts w:asciiTheme="minorHAnsi" w:hAnsiTheme="minorHAnsi" w:cstheme="minorHAnsi"/>
          <w:color w:val="FF0000"/>
          <w:sz w:val="21"/>
          <w:szCs w:val="21"/>
        </w:rPr>
        <w:t>1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2</w:t>
      </w:r>
      <w:r w:rsidR="00FA4BB7" w:rsidRPr="003813FA">
        <w:rPr>
          <w:rFonts w:asciiTheme="minorHAnsi" w:hAnsiTheme="minorHAnsi" w:cstheme="minorHAnsi"/>
          <w:color w:val="FF0000"/>
          <w:sz w:val="21"/>
          <w:szCs w:val="21"/>
        </w:rPr>
        <w:t>/01/2017 pela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A4BB7" w:rsidRPr="003813FA">
        <w:rPr>
          <w:rFonts w:asciiTheme="minorHAnsi" w:hAnsiTheme="minorHAnsi" w:cstheme="minorHAnsi"/>
          <w:color w:val="FF0000"/>
          <w:sz w:val="21"/>
          <w:szCs w:val="21"/>
        </w:rPr>
        <w:t>Superintendente Administrativa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>, Sr</w:t>
      </w:r>
      <w:r w:rsidR="00644748" w:rsidRPr="003813FA">
        <w:rPr>
          <w:rFonts w:asciiTheme="minorHAnsi" w:hAnsiTheme="minorHAnsi" w:cstheme="minorHAnsi"/>
          <w:color w:val="FF0000"/>
          <w:sz w:val="21"/>
          <w:szCs w:val="21"/>
        </w:rPr>
        <w:t>a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  <w:r w:rsidR="00FA4BB7" w:rsidRPr="003813FA">
        <w:rPr>
          <w:rFonts w:asciiTheme="minorHAnsi" w:hAnsiTheme="minorHAnsi" w:cstheme="minorHAnsi"/>
          <w:color w:val="FF0000"/>
          <w:sz w:val="21"/>
          <w:szCs w:val="21"/>
        </w:rPr>
        <w:t>Mônica Lins Medeiros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</w:p>
    <w:p w:rsidR="004D7ED5" w:rsidRPr="003813FA" w:rsidRDefault="001C3DBD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5</w:t>
      </w:r>
      <w:proofErr w:type="gramEnd"/>
      <w:r w:rsidR="004D7ED5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</w:t>
      </w:r>
      <w:r w:rsidR="00CA0427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AUSÊNCIA DE ENTREGA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– À fl. 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62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, verifica-se que no dia </w:t>
      </w:r>
      <w:r w:rsidR="009A773D" w:rsidRPr="003813FA">
        <w:rPr>
          <w:rFonts w:asciiTheme="minorHAnsi" w:hAnsiTheme="minorHAnsi" w:cstheme="minorHAnsi"/>
          <w:color w:val="FF0000"/>
          <w:sz w:val="21"/>
          <w:szCs w:val="21"/>
        </w:rPr>
        <w:t>07/06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/2017 a Controladoria Interna da SESAU, através do Assessor Técnico, Jorge Filho, documentou que após inspeção in loco, </w:t>
      </w:r>
      <w:r w:rsidR="00B719CE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foi constatada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entrada/consumo destes produtos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na unidade,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porém não há comprovantes de entrega desta empresa, bem como não foi acostado nos autos, pela empresa, tais comprovantes, conforme depoimento da nutricionista, Sra. Carla Cristiane 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>(fl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62/63).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Ressalta ainda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que o atesto da nota fiscal foi realizado pela Superintendente Administrativa da SESAU, e não pela pessoa responsável pela unidade. </w:t>
      </w:r>
    </w:p>
    <w:p w:rsidR="00A11FE5" w:rsidRPr="003813FA" w:rsidRDefault="001C3DBD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6</w:t>
      </w:r>
      <w:proofErr w:type="gramEnd"/>
      <w:r w:rsidR="00A11FE5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CERTIDÕES DE REGULARIDADE</w:t>
      </w:r>
      <w:r w:rsidR="00A11FE5" w:rsidRPr="003813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Em análise aos documentos apensados aos autos as folhas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50/54</w:t>
      </w:r>
      <w:r w:rsidR="00A11FE5" w:rsidRPr="003813FA">
        <w:rPr>
          <w:rFonts w:asciiTheme="minorHAnsi" w:hAnsiTheme="minorHAnsi" w:cstheme="minorHAnsi"/>
          <w:color w:val="FF0000"/>
          <w:sz w:val="21"/>
          <w:szCs w:val="21"/>
        </w:rPr>
        <w:t>, observa-se Certidões de Regularidade da empresa citada, vencidas.</w:t>
      </w:r>
    </w:p>
    <w:p w:rsidR="004D7ED5" w:rsidRPr="003813FA" w:rsidRDefault="001C3DBD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7</w:t>
      </w:r>
      <w:proofErr w:type="gramEnd"/>
      <w:r w:rsidR="004D7ED5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AUSÊNCIA DE CONTRATO</w:t>
      </w:r>
      <w:r w:rsidR="004D7ED5" w:rsidRPr="003813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À fl.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61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verifica-se Despacho S/Nº, datado de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24</w:t>
      </w:r>
      <w:r w:rsidR="00BC190D" w:rsidRPr="003813FA">
        <w:rPr>
          <w:rFonts w:asciiTheme="minorHAnsi" w:hAnsiTheme="minorHAnsi" w:cstheme="minorHAnsi"/>
          <w:color w:val="FF0000"/>
          <w:sz w:val="21"/>
          <w:szCs w:val="21"/>
        </w:rPr>
        <w:t>/0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>4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/2017, de lavra da Assessora Técnica de Contratos, onde informa a </w:t>
      </w:r>
      <w:r w:rsidR="004D7ED5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INEXISTÊNCIA de contrato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referente ao objeto em comento.</w:t>
      </w:r>
    </w:p>
    <w:p w:rsidR="001650A3" w:rsidRPr="003813F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>De toda a explanação e detalhamento proc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essual 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contidos no presente parecer</w:t>
      </w:r>
      <w:r w:rsidR="00EA3719" w:rsidRPr="003813FA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e considerando a urgência que circunstancia a contratação, </w:t>
      </w:r>
      <w:proofErr w:type="gramStart"/>
      <w:r w:rsidRPr="003813FA">
        <w:rPr>
          <w:rFonts w:asciiTheme="minorHAnsi" w:hAnsiTheme="minorHAnsi" w:cstheme="minorHAnsi"/>
          <w:color w:val="FF0000"/>
          <w:sz w:val="21"/>
          <w:szCs w:val="21"/>
        </w:rPr>
        <w:t>alerte-se</w:t>
      </w:r>
      <w:proofErr w:type="gramEnd"/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para a necessidade de informações, quais sejam:</w:t>
      </w:r>
    </w:p>
    <w:p w:rsidR="00E3550E" w:rsidRPr="003813F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I - </w:t>
      </w:r>
      <w:r w:rsidR="00713CBF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PROCEDIMENTO ADMINISTRATIVO</w:t>
      </w:r>
      <w:r w:rsidR="001D73D5" w:rsidRPr="003813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713CBF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– </w:t>
      </w:r>
      <w:r w:rsidR="001D73D5" w:rsidRPr="003813FA">
        <w:rPr>
          <w:rFonts w:asciiTheme="minorHAnsi" w:hAnsiTheme="minorHAnsi" w:cstheme="minorHAnsi"/>
          <w:color w:val="FF0000"/>
          <w:sz w:val="21"/>
          <w:szCs w:val="21"/>
        </w:rPr>
        <w:t>Diante d</w:t>
      </w:r>
      <w:r w:rsidR="00837464" w:rsidRPr="003813FA">
        <w:rPr>
          <w:rFonts w:asciiTheme="minorHAnsi" w:hAnsiTheme="minorHAnsi" w:cstheme="minorHAnsi"/>
          <w:color w:val="FF0000"/>
          <w:sz w:val="21"/>
          <w:szCs w:val="21"/>
        </w:rPr>
        <w:t>o exposto</w:t>
      </w:r>
      <w:r w:rsidR="001D73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F282E" w:rsidRPr="003813FA">
        <w:rPr>
          <w:rFonts w:asciiTheme="minorHAnsi" w:hAnsiTheme="minorHAnsi" w:cstheme="minorHAnsi"/>
          <w:color w:val="FF0000"/>
          <w:sz w:val="21"/>
          <w:szCs w:val="21"/>
        </w:rPr>
        <w:t>n</w:t>
      </w:r>
      <w:r w:rsidR="00713CBF" w:rsidRPr="003813FA">
        <w:rPr>
          <w:rFonts w:asciiTheme="minorHAnsi" w:hAnsiTheme="minorHAnsi" w:cstheme="minorHAnsi"/>
          <w:color w:val="FF0000"/>
          <w:sz w:val="21"/>
          <w:szCs w:val="21"/>
        </w:rPr>
        <w:t>os autos</w:t>
      </w:r>
      <w:r w:rsidR="004D7E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observa-se</w:t>
      </w:r>
      <w:r w:rsidR="001D73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que</w:t>
      </w:r>
      <w:r w:rsidR="00713CBF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33B7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a liquidação da despesa </w:t>
      </w:r>
      <w:r w:rsidR="00E3550E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deve ser precedida da apuração da boa fé do particular contratado </w:t>
      </w:r>
      <w:r w:rsidR="00690495" w:rsidRPr="003813FA">
        <w:rPr>
          <w:rFonts w:asciiTheme="minorHAnsi" w:hAnsiTheme="minorHAnsi" w:cstheme="minorHAnsi"/>
          <w:color w:val="FF0000"/>
          <w:sz w:val="21"/>
          <w:szCs w:val="21"/>
        </w:rPr>
        <w:t>mediante</w:t>
      </w:r>
      <w:r w:rsidR="00E3550E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3813FA">
        <w:rPr>
          <w:rFonts w:asciiTheme="minorHAnsi" w:hAnsiTheme="minorHAnsi" w:cstheme="minorHAnsi"/>
          <w:color w:val="FF0000"/>
          <w:sz w:val="21"/>
          <w:szCs w:val="21"/>
        </w:rPr>
        <w:t>I</w:t>
      </w:r>
      <w:r w:rsidR="00E3550E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da Lei nº 8.666/1993.</w:t>
      </w:r>
    </w:p>
    <w:p w:rsidR="00D751E0" w:rsidRPr="003813F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lastRenderedPageBreak/>
        <w:t xml:space="preserve">II - </w:t>
      </w:r>
      <w:r w:rsidR="00233B75"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CONDUTA DOS AGENTES PÚBLICOS </w:t>
      </w:r>
      <w:r w:rsidR="00233B75" w:rsidRPr="003813FA">
        <w:rPr>
          <w:rFonts w:asciiTheme="minorHAnsi" w:hAnsiTheme="minorHAnsi" w:cstheme="minorHAnsi"/>
          <w:color w:val="FF0000"/>
          <w:sz w:val="21"/>
          <w:szCs w:val="21"/>
        </w:rPr>
        <w:t>–</w:t>
      </w:r>
      <w:r w:rsidR="001D73D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37464" w:rsidRPr="003813FA">
        <w:rPr>
          <w:rFonts w:asciiTheme="minorHAnsi" w:hAnsiTheme="minorHAnsi" w:cstheme="minorHAnsi"/>
          <w:color w:val="FF0000"/>
          <w:sz w:val="21"/>
          <w:szCs w:val="21"/>
        </w:rPr>
        <w:t>A</w:t>
      </w:r>
      <w:r w:rsidR="00233B7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nos termos da</w:t>
      </w:r>
      <w:r w:rsidR="00213151" w:rsidRPr="003813FA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69049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Lei</w:t>
      </w:r>
      <w:r w:rsidR="00213151" w:rsidRPr="003813FA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690495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nº 5.247/1991,</w:t>
      </w:r>
      <w:r w:rsidR="00B8320F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13151"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nº 6.161/2000 e nº 8.666/1993, </w:t>
      </w:r>
      <w:r w:rsidR="00233B75" w:rsidRPr="003813FA">
        <w:rPr>
          <w:rFonts w:asciiTheme="minorHAnsi" w:hAnsiTheme="minorHAnsi" w:cstheme="minorHAnsi"/>
          <w:color w:val="FF0000"/>
          <w:sz w:val="21"/>
          <w:szCs w:val="21"/>
        </w:rPr>
        <w:t>no âmbito da SESAU, onde se apurem e se imputem as respectivas responsabilidades</w:t>
      </w:r>
      <w:r w:rsidR="00690495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C057A1" w:rsidRPr="003813FA" w:rsidRDefault="00C057A1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III – MANIFESTAÇÃO JURIDÍCA DA PGE 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-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</w:p>
    <w:p w:rsidR="008C27BE" w:rsidRPr="003813FA" w:rsidRDefault="008C27BE" w:rsidP="008C27BE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Diante do exposto, pugna-se pelo não pagamento da despesa apresentada, tendo em vista as declarações apresentadas pela SESAU sobre a ausência de documentos que comprovem a entrega dos </w:t>
      </w:r>
      <w:r w:rsidR="00675F4A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alimentos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8C27BE" w:rsidRPr="003813FA" w:rsidRDefault="008C27BE" w:rsidP="008C27B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Encaminhem-se os autos ao gabinete da Controladora Geral do Estado para conhecimento da análise apresentada e providências, sugerindo a remessa dos autos ao Órgão de origem, para a solução das pendências processuais apontada nas alíneas 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“I” </w:t>
      </w:r>
      <w:r w:rsidR="00C057A1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a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“II</w:t>
      </w:r>
      <w:r w:rsidR="00C057A1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I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”</w:t>
      </w:r>
      <w:r w:rsidRPr="003813FA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ED0561" w:rsidRPr="003813FA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16"/>
          <w:szCs w:val="16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ab/>
      </w:r>
    </w:p>
    <w:p w:rsidR="001D3764" w:rsidRPr="003813FA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Maceió</w:t>
      </w:r>
      <w:r w:rsidR="0099564D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-AL</w:t>
      </w:r>
      <w:r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, </w:t>
      </w:r>
      <w:r w:rsidR="003735D9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1</w:t>
      </w:r>
      <w:r w:rsidR="00C057A1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9</w:t>
      </w:r>
      <w:r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de </w:t>
      </w:r>
      <w:r w:rsidR="00A561A8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outubr</w:t>
      </w:r>
      <w:r w:rsidR="00E467CC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o</w:t>
      </w:r>
      <w:r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de 201</w:t>
      </w:r>
      <w:r w:rsidR="00A70EC3"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7</w:t>
      </w:r>
      <w:r w:rsidRPr="003813FA">
        <w:rPr>
          <w:rFonts w:asciiTheme="minorHAnsi" w:hAnsiTheme="minorHAnsi" w:cstheme="minorHAnsi"/>
          <w:bCs/>
          <w:color w:val="FF0000"/>
          <w:sz w:val="21"/>
          <w:szCs w:val="21"/>
        </w:rPr>
        <w:t>.</w:t>
      </w:r>
    </w:p>
    <w:p w:rsidR="006355E5" w:rsidRPr="003813FA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color w:val="FF0000"/>
          <w:sz w:val="16"/>
          <w:szCs w:val="16"/>
        </w:rPr>
      </w:pPr>
    </w:p>
    <w:p w:rsidR="007B1996" w:rsidRPr="003813FA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  <w:lang w:eastAsia="ar-SA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  <w:lang w:eastAsia="ar-SA"/>
        </w:rPr>
        <w:t>Fabiana Cristina Mendonça de Freitas</w:t>
      </w:r>
    </w:p>
    <w:p w:rsidR="007B1996" w:rsidRPr="003813F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Assessor</w:t>
      </w:r>
      <w:r w:rsidR="00ED0561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a</w:t>
      </w: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de Controle Interno/ Matrícula nº </w:t>
      </w:r>
      <w:r w:rsidR="00ED0561" w:rsidRPr="003813FA">
        <w:rPr>
          <w:rFonts w:asciiTheme="minorHAnsi" w:hAnsiTheme="minorHAnsi" w:cstheme="minorHAnsi"/>
          <w:b/>
          <w:color w:val="FF0000"/>
          <w:sz w:val="21"/>
          <w:szCs w:val="21"/>
        </w:rPr>
        <w:t>108-2</w:t>
      </w:r>
    </w:p>
    <w:p w:rsidR="008B65AC" w:rsidRPr="003813F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8B65AC" w:rsidRPr="003813F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>De acordo:</w:t>
      </w:r>
    </w:p>
    <w:p w:rsidR="001D3764" w:rsidRPr="003813F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color w:val="FF0000"/>
          <w:sz w:val="21"/>
          <w:szCs w:val="21"/>
        </w:rPr>
        <w:t xml:space="preserve">Adriana Andrade Araújo </w:t>
      </w:r>
    </w:p>
    <w:p w:rsidR="00BA113A" w:rsidRPr="003813F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3813FA">
        <w:rPr>
          <w:rFonts w:asciiTheme="minorHAnsi" w:hAnsiTheme="minorHAnsi" w:cstheme="minorHAnsi"/>
          <w:b/>
          <w:color w:val="FF0000"/>
          <w:sz w:val="21"/>
          <w:szCs w:val="21"/>
        </w:rPr>
        <w:t>Superintendente de Auditagem - Matrícula n° 113-9</w:t>
      </w:r>
    </w:p>
    <w:sectPr w:rsidR="00BA113A" w:rsidRPr="003813F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F57" w:rsidRDefault="00727F57" w:rsidP="003068B9">
      <w:pPr>
        <w:spacing w:after="0" w:line="240" w:lineRule="auto"/>
      </w:pPr>
      <w:r>
        <w:separator/>
      </w:r>
    </w:p>
  </w:endnote>
  <w:endnote w:type="continuationSeparator" w:id="0">
    <w:p w:rsidR="00727F57" w:rsidRDefault="00727F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F57" w:rsidRDefault="00727F57" w:rsidP="003068B9">
      <w:pPr>
        <w:spacing w:after="0" w:line="240" w:lineRule="auto"/>
      </w:pPr>
      <w:r>
        <w:separator/>
      </w:r>
    </w:p>
  </w:footnote>
  <w:footnote w:type="continuationSeparator" w:id="0">
    <w:p w:rsidR="00727F57" w:rsidRDefault="00727F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373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3736A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C3DBD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37ACC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3FA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013F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CE0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77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5F4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3FC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7F57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7BE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3D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C48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CB7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38"/>
    <w:rsid w:val="00B1029F"/>
    <w:rsid w:val="00B11B7D"/>
    <w:rsid w:val="00B12135"/>
    <w:rsid w:val="00B14AD1"/>
    <w:rsid w:val="00B14EED"/>
    <w:rsid w:val="00B15BEC"/>
    <w:rsid w:val="00B20987"/>
    <w:rsid w:val="00B20C54"/>
    <w:rsid w:val="00B20F06"/>
    <w:rsid w:val="00B21759"/>
    <w:rsid w:val="00B222FB"/>
    <w:rsid w:val="00B2230A"/>
    <w:rsid w:val="00B22B4A"/>
    <w:rsid w:val="00B2500F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37C3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57A1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AFD"/>
    <w:rsid w:val="00C75F05"/>
    <w:rsid w:val="00C824A6"/>
    <w:rsid w:val="00C837C2"/>
    <w:rsid w:val="00C839BB"/>
    <w:rsid w:val="00C84E55"/>
    <w:rsid w:val="00C9075F"/>
    <w:rsid w:val="00CA0272"/>
    <w:rsid w:val="00CA0427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31A7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1DA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C76F8"/>
    <w:rsid w:val="00DD587E"/>
    <w:rsid w:val="00DD7FA4"/>
    <w:rsid w:val="00DE4762"/>
    <w:rsid w:val="00DE553A"/>
    <w:rsid w:val="00DE5813"/>
    <w:rsid w:val="00DE65B7"/>
    <w:rsid w:val="00DE72A7"/>
    <w:rsid w:val="00DF50D8"/>
    <w:rsid w:val="00DF63FB"/>
    <w:rsid w:val="00DF72EC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40E"/>
    <w:rsid w:val="00EA3719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265D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3215C-46B2-4A01-A513-A0821882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2017-10-19T12:38:00Z</dcterms:created>
  <dcterms:modified xsi:type="dcterms:W3CDTF">2017-10-19T12:40:00Z</dcterms:modified>
</cp:coreProperties>
</file>