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38A" w:rsidRPr="00733700" w:rsidRDefault="00733700" w:rsidP="00733700">
      <w:pPr>
        <w:spacing w:after="0" w:line="360" w:lineRule="auto"/>
        <w:jc w:val="both"/>
        <w:rPr>
          <w:rFonts w:asciiTheme="minorHAnsi" w:hAnsiTheme="minorHAnsi" w:cstheme="minorHAnsi"/>
          <w:bCs/>
        </w:rPr>
      </w:pPr>
      <w:r w:rsidRPr="00733700">
        <w:rPr>
          <w:rFonts w:asciiTheme="minorHAnsi" w:hAnsiTheme="minorHAnsi" w:cstheme="minorHAnsi"/>
          <w:b/>
          <w:bCs/>
        </w:rPr>
        <w:t>PROCESSO</w:t>
      </w:r>
      <w:r w:rsidRPr="00733700">
        <w:rPr>
          <w:rFonts w:asciiTheme="minorHAnsi" w:hAnsiTheme="minorHAnsi" w:cstheme="minorHAnsi"/>
          <w:bCs/>
        </w:rPr>
        <w:t xml:space="preserve">: </w:t>
      </w:r>
      <w:r w:rsidRPr="00733700">
        <w:rPr>
          <w:rFonts w:asciiTheme="minorHAnsi" w:hAnsiTheme="minorHAnsi" w:cstheme="minorHAnsi"/>
          <w:b/>
          <w:bCs/>
        </w:rPr>
        <w:t>Nº</w:t>
      </w:r>
      <w:r w:rsidRPr="00733700">
        <w:rPr>
          <w:rFonts w:asciiTheme="minorHAnsi" w:hAnsiTheme="minorHAnsi" w:cstheme="minorHAnsi"/>
          <w:bCs/>
        </w:rPr>
        <w:t xml:space="preserve"> 41010</w:t>
      </w:r>
      <w:r>
        <w:rPr>
          <w:rFonts w:asciiTheme="minorHAnsi" w:hAnsiTheme="minorHAnsi" w:cstheme="minorHAnsi"/>
          <w:bCs/>
        </w:rPr>
        <w:t>-</w:t>
      </w:r>
      <w:r w:rsidRPr="00733700">
        <w:rPr>
          <w:rFonts w:asciiTheme="minorHAnsi" w:hAnsiTheme="minorHAnsi" w:cstheme="minorHAnsi"/>
          <w:bCs/>
        </w:rPr>
        <w:t>1270/2017</w:t>
      </w:r>
    </w:p>
    <w:p w:rsidR="00475A79" w:rsidRPr="00733700" w:rsidRDefault="00733700" w:rsidP="00733700">
      <w:pPr>
        <w:spacing w:after="0" w:line="360" w:lineRule="auto"/>
        <w:jc w:val="both"/>
        <w:rPr>
          <w:rFonts w:asciiTheme="minorHAnsi" w:hAnsiTheme="minorHAnsi" w:cstheme="minorHAnsi"/>
          <w:bCs/>
        </w:rPr>
      </w:pPr>
      <w:r w:rsidRPr="00733700">
        <w:rPr>
          <w:rFonts w:asciiTheme="minorHAnsi" w:hAnsiTheme="minorHAnsi" w:cstheme="minorHAnsi"/>
          <w:b/>
          <w:bCs/>
        </w:rPr>
        <w:t xml:space="preserve">INTERESSADO: </w:t>
      </w:r>
      <w:r w:rsidRPr="00733700">
        <w:rPr>
          <w:rFonts w:asciiTheme="minorHAnsi" w:hAnsiTheme="minorHAnsi" w:cstheme="minorHAnsi"/>
          <w:bCs/>
        </w:rPr>
        <w:t>SECRETARIA DE ESTADO DA SAÚDE - SESAU</w:t>
      </w:r>
    </w:p>
    <w:p w:rsidR="00BC7D60" w:rsidRPr="00733700" w:rsidRDefault="00733700" w:rsidP="00733700">
      <w:pPr>
        <w:spacing w:after="0" w:line="360" w:lineRule="auto"/>
        <w:jc w:val="both"/>
        <w:rPr>
          <w:rFonts w:asciiTheme="minorHAnsi" w:hAnsiTheme="minorHAnsi" w:cstheme="minorHAnsi"/>
          <w:bCs/>
        </w:rPr>
      </w:pPr>
      <w:r w:rsidRPr="00733700">
        <w:rPr>
          <w:rFonts w:asciiTheme="minorHAnsi" w:hAnsiTheme="minorHAnsi" w:cstheme="minorHAnsi"/>
          <w:b/>
          <w:bCs/>
        </w:rPr>
        <w:t>ASSUNTO:</w:t>
      </w:r>
      <w:r w:rsidRPr="00733700">
        <w:rPr>
          <w:rFonts w:asciiTheme="minorHAnsi" w:hAnsiTheme="minorHAnsi" w:cstheme="minorHAnsi"/>
          <w:bCs/>
        </w:rPr>
        <w:t xml:space="preserve"> AQUISIÇÃO DE MEDICAMENTOS DIVERSOS POR DISPENSA DE LICITAÇÃO (CONTRATAÇÃO EMERGENCIAL).</w:t>
      </w:r>
    </w:p>
    <w:p w:rsidR="00296284" w:rsidRPr="00733700" w:rsidRDefault="00296284" w:rsidP="00733700">
      <w:pPr>
        <w:spacing w:after="0" w:line="360" w:lineRule="auto"/>
        <w:jc w:val="both"/>
        <w:rPr>
          <w:rFonts w:asciiTheme="minorHAnsi" w:hAnsiTheme="minorHAnsi" w:cstheme="minorHAnsi"/>
          <w:bCs/>
        </w:rPr>
      </w:pPr>
    </w:p>
    <w:p w:rsidR="004E36E6" w:rsidRPr="00733700" w:rsidRDefault="001D5B96" w:rsidP="00733700">
      <w:pPr>
        <w:spacing w:after="0" w:line="360" w:lineRule="auto"/>
        <w:ind w:firstLine="709"/>
        <w:jc w:val="both"/>
        <w:rPr>
          <w:rFonts w:asciiTheme="minorHAnsi" w:hAnsiTheme="minorHAnsi" w:cstheme="minorHAnsi"/>
          <w:b/>
        </w:rPr>
      </w:pPr>
      <w:r w:rsidRPr="00733700">
        <w:rPr>
          <w:rFonts w:asciiTheme="minorHAnsi" w:hAnsiTheme="minorHAnsi" w:cstheme="minorHAnsi"/>
        </w:rPr>
        <w:t>Trata-se d</w:t>
      </w:r>
      <w:r w:rsidR="009E4FDC" w:rsidRPr="00733700">
        <w:rPr>
          <w:rFonts w:asciiTheme="minorHAnsi" w:hAnsiTheme="minorHAnsi" w:cstheme="minorHAnsi"/>
        </w:rPr>
        <w:t>o</w:t>
      </w:r>
      <w:r w:rsidR="005C738A" w:rsidRPr="00733700">
        <w:rPr>
          <w:rFonts w:asciiTheme="minorHAnsi" w:hAnsiTheme="minorHAnsi" w:cstheme="minorHAnsi"/>
        </w:rPr>
        <w:t xml:space="preserve"> </w:t>
      </w:r>
      <w:r w:rsidR="005C738A" w:rsidRPr="00733700">
        <w:rPr>
          <w:rFonts w:asciiTheme="minorHAnsi" w:hAnsiTheme="minorHAnsi" w:cstheme="minorHAnsi"/>
          <w:b/>
        </w:rPr>
        <w:t xml:space="preserve">Processo Administrativo nº </w:t>
      </w:r>
      <w:r w:rsidRPr="00733700">
        <w:rPr>
          <w:rFonts w:asciiTheme="minorHAnsi" w:hAnsiTheme="minorHAnsi" w:cstheme="minorHAnsi"/>
          <w:b/>
          <w:bCs/>
        </w:rPr>
        <w:t>41010</w:t>
      </w:r>
      <w:r w:rsidR="00733700">
        <w:rPr>
          <w:rFonts w:asciiTheme="minorHAnsi" w:hAnsiTheme="minorHAnsi" w:cstheme="minorHAnsi"/>
          <w:b/>
          <w:bCs/>
        </w:rPr>
        <w:t>-</w:t>
      </w:r>
      <w:r w:rsidRPr="00733700">
        <w:rPr>
          <w:rFonts w:asciiTheme="minorHAnsi" w:hAnsiTheme="minorHAnsi" w:cstheme="minorHAnsi"/>
          <w:b/>
          <w:bCs/>
        </w:rPr>
        <w:t>1270/2017</w:t>
      </w:r>
      <w:r w:rsidR="00D73BE7" w:rsidRPr="00733700">
        <w:rPr>
          <w:rFonts w:asciiTheme="minorHAnsi" w:hAnsiTheme="minorHAnsi" w:cstheme="minorHAnsi"/>
          <w:b/>
          <w:bCs/>
        </w:rPr>
        <w:t>,</w:t>
      </w:r>
      <w:r w:rsidR="00405B0C" w:rsidRPr="00733700">
        <w:rPr>
          <w:rFonts w:asciiTheme="minorHAnsi" w:hAnsiTheme="minorHAnsi" w:cstheme="minorHAnsi"/>
        </w:rPr>
        <w:t xml:space="preserve"> </w:t>
      </w:r>
      <w:r w:rsidR="00685F30" w:rsidRPr="00733700">
        <w:rPr>
          <w:rFonts w:asciiTheme="minorHAnsi" w:hAnsiTheme="minorHAnsi" w:cstheme="minorHAnsi"/>
        </w:rPr>
        <w:t xml:space="preserve">em </w:t>
      </w:r>
      <w:r w:rsidR="005C738A" w:rsidRPr="00733700">
        <w:rPr>
          <w:rFonts w:asciiTheme="minorHAnsi" w:hAnsiTheme="minorHAnsi" w:cstheme="minorHAnsi"/>
        </w:rPr>
        <w:t xml:space="preserve">volume com </w:t>
      </w:r>
      <w:r w:rsidRPr="00733700">
        <w:rPr>
          <w:rFonts w:asciiTheme="minorHAnsi" w:hAnsiTheme="minorHAnsi" w:cstheme="minorHAnsi"/>
        </w:rPr>
        <w:t>1</w:t>
      </w:r>
      <w:r w:rsidR="000F70E5" w:rsidRPr="00733700">
        <w:rPr>
          <w:rFonts w:asciiTheme="minorHAnsi" w:hAnsiTheme="minorHAnsi" w:cstheme="minorHAnsi"/>
        </w:rPr>
        <w:t>.</w:t>
      </w:r>
      <w:r w:rsidRPr="00733700">
        <w:rPr>
          <w:rFonts w:asciiTheme="minorHAnsi" w:hAnsiTheme="minorHAnsi" w:cstheme="minorHAnsi"/>
        </w:rPr>
        <w:t>719</w:t>
      </w:r>
      <w:r w:rsidR="00286559" w:rsidRPr="00733700">
        <w:rPr>
          <w:rFonts w:asciiTheme="minorHAnsi" w:hAnsiTheme="minorHAnsi" w:cstheme="minorHAnsi"/>
        </w:rPr>
        <w:t xml:space="preserve"> (</w:t>
      </w:r>
      <w:r w:rsidRPr="00733700">
        <w:rPr>
          <w:rFonts w:asciiTheme="minorHAnsi" w:hAnsiTheme="minorHAnsi" w:cstheme="minorHAnsi"/>
        </w:rPr>
        <w:t>mil, setecentos e dezenove</w:t>
      </w:r>
      <w:r w:rsidR="00286559" w:rsidRPr="00733700">
        <w:rPr>
          <w:rFonts w:asciiTheme="minorHAnsi" w:hAnsiTheme="minorHAnsi" w:cstheme="minorHAnsi"/>
        </w:rPr>
        <w:t>)</w:t>
      </w:r>
      <w:r w:rsidR="000B2638" w:rsidRPr="00733700">
        <w:rPr>
          <w:rFonts w:asciiTheme="minorHAnsi" w:hAnsiTheme="minorHAnsi" w:cstheme="minorHAnsi"/>
        </w:rPr>
        <w:t xml:space="preserve"> </w:t>
      </w:r>
      <w:r w:rsidR="00685F30" w:rsidRPr="00733700">
        <w:rPr>
          <w:rFonts w:asciiTheme="minorHAnsi" w:hAnsiTheme="minorHAnsi" w:cstheme="minorHAnsi"/>
        </w:rPr>
        <w:t xml:space="preserve">fls., </w:t>
      </w:r>
      <w:r w:rsidR="002170BB" w:rsidRPr="00733700">
        <w:rPr>
          <w:rFonts w:asciiTheme="minorHAnsi" w:hAnsiTheme="minorHAnsi" w:cstheme="minorHAnsi"/>
        </w:rPr>
        <w:t xml:space="preserve">que </w:t>
      </w:r>
      <w:r w:rsidR="00E96A71" w:rsidRPr="00733700">
        <w:rPr>
          <w:rFonts w:asciiTheme="minorHAnsi" w:hAnsiTheme="minorHAnsi" w:cstheme="minorHAnsi"/>
        </w:rPr>
        <w:t>versa sobre</w:t>
      </w:r>
      <w:r w:rsidR="002170BB" w:rsidRPr="00733700">
        <w:rPr>
          <w:rFonts w:asciiTheme="minorHAnsi" w:hAnsiTheme="minorHAnsi" w:cstheme="minorHAnsi"/>
        </w:rPr>
        <w:t xml:space="preserve"> </w:t>
      </w:r>
      <w:r w:rsidR="00BC7D60" w:rsidRPr="00733700">
        <w:rPr>
          <w:rFonts w:asciiTheme="minorHAnsi" w:hAnsiTheme="minorHAnsi" w:cstheme="minorHAnsi"/>
        </w:rPr>
        <w:t xml:space="preserve">a </w:t>
      </w:r>
      <w:r w:rsidRPr="00733700">
        <w:rPr>
          <w:rFonts w:asciiTheme="minorHAnsi" w:hAnsiTheme="minorHAnsi" w:cstheme="minorHAnsi"/>
          <w:bCs/>
        </w:rPr>
        <w:t>aquisição de medicamentos diversos por dispensa de licitação (Lei nº 8.666/93, art. 24, inciso IV), destinados à Universidade Estadual de Ciências da Saúde de Alagoas – UNCISAL. As</w:t>
      </w:r>
      <w:r w:rsidR="004E36E6" w:rsidRPr="00733700">
        <w:rPr>
          <w:rFonts w:asciiTheme="minorHAnsi" w:hAnsiTheme="minorHAnsi" w:cstheme="minorHAnsi"/>
        </w:rPr>
        <w:t xml:space="preserve"> despesas </w:t>
      </w:r>
      <w:r w:rsidR="00E118DF" w:rsidRPr="00733700">
        <w:rPr>
          <w:rFonts w:asciiTheme="minorHAnsi" w:hAnsiTheme="minorHAnsi" w:cstheme="minorHAnsi"/>
        </w:rPr>
        <w:t xml:space="preserve">foram inicialmente </w:t>
      </w:r>
      <w:r w:rsidR="004E36E6" w:rsidRPr="00733700">
        <w:rPr>
          <w:rFonts w:asciiTheme="minorHAnsi" w:hAnsiTheme="minorHAnsi" w:cstheme="minorHAnsi"/>
        </w:rPr>
        <w:t xml:space="preserve">orçadas em </w:t>
      </w:r>
      <w:r w:rsidR="004E36E6" w:rsidRPr="00733700">
        <w:rPr>
          <w:rFonts w:asciiTheme="minorHAnsi" w:hAnsiTheme="minorHAnsi" w:cstheme="minorHAnsi"/>
          <w:b/>
        </w:rPr>
        <w:t>R$</w:t>
      </w:r>
      <w:r w:rsidR="00D94847" w:rsidRPr="00733700">
        <w:rPr>
          <w:rFonts w:asciiTheme="minorHAnsi" w:hAnsiTheme="minorHAnsi" w:cstheme="minorHAnsi"/>
          <w:b/>
        </w:rPr>
        <w:t>1.861.192,67</w:t>
      </w:r>
      <w:r w:rsidR="004E36E6" w:rsidRPr="00733700">
        <w:rPr>
          <w:rFonts w:asciiTheme="minorHAnsi" w:hAnsiTheme="minorHAnsi" w:cstheme="minorHAnsi"/>
          <w:b/>
        </w:rPr>
        <w:t xml:space="preserve"> (</w:t>
      </w:r>
      <w:r w:rsidR="00D94847" w:rsidRPr="00733700">
        <w:rPr>
          <w:rFonts w:asciiTheme="minorHAnsi" w:hAnsiTheme="minorHAnsi" w:cstheme="minorHAnsi"/>
          <w:b/>
        </w:rPr>
        <w:t>um milhão, oitocentos e sessenta e um mil, cento e noventa e dois reais e sessenta e sete centavos</w:t>
      </w:r>
      <w:r w:rsidR="004E36E6" w:rsidRPr="00733700">
        <w:rPr>
          <w:rFonts w:asciiTheme="minorHAnsi" w:hAnsiTheme="minorHAnsi" w:cstheme="minorHAnsi"/>
          <w:b/>
        </w:rPr>
        <w:t>)</w:t>
      </w:r>
      <w:r w:rsidR="00D94847" w:rsidRPr="00733700">
        <w:rPr>
          <w:rFonts w:asciiTheme="minorHAnsi" w:hAnsiTheme="minorHAnsi" w:cstheme="minorHAnsi"/>
        </w:rPr>
        <w:t>, mediante utilização de recursos federais (Fonte 120).</w:t>
      </w:r>
    </w:p>
    <w:p w:rsidR="0098743D" w:rsidRPr="00C900C7" w:rsidRDefault="0098743D" w:rsidP="00733700">
      <w:pPr>
        <w:spacing w:after="0" w:line="360" w:lineRule="auto"/>
        <w:ind w:firstLine="709"/>
        <w:jc w:val="both"/>
        <w:rPr>
          <w:rFonts w:asciiTheme="minorHAnsi" w:hAnsiTheme="minorHAnsi" w:cstheme="minorHAnsi"/>
        </w:rPr>
      </w:pPr>
      <w:r w:rsidRPr="00C900C7">
        <w:rPr>
          <w:rFonts w:asciiTheme="minorHAnsi" w:hAnsiTheme="minorHAnsi" w:cstheme="minorHAnsi"/>
        </w:rPr>
        <w:t xml:space="preserve">Os autos foram encaminhados a esta </w:t>
      </w:r>
      <w:r w:rsidRPr="00C900C7">
        <w:rPr>
          <w:rFonts w:asciiTheme="minorHAnsi" w:hAnsiTheme="minorHAnsi" w:cstheme="minorHAnsi"/>
          <w:b/>
        </w:rPr>
        <w:t>Controladoria Geral do Estado – CGE</w:t>
      </w:r>
      <w:r w:rsidR="00D94847" w:rsidRPr="00C900C7">
        <w:rPr>
          <w:rFonts w:asciiTheme="minorHAnsi" w:hAnsiTheme="minorHAnsi" w:cstheme="minorHAnsi"/>
        </w:rPr>
        <w:t>, através</w:t>
      </w:r>
      <w:r w:rsidRPr="00C900C7">
        <w:rPr>
          <w:rFonts w:asciiTheme="minorHAnsi" w:hAnsiTheme="minorHAnsi" w:cstheme="minorHAnsi"/>
        </w:rPr>
        <w:t xml:space="preserve"> </w:t>
      </w:r>
      <w:r w:rsidR="00D94847" w:rsidRPr="00C900C7">
        <w:rPr>
          <w:rFonts w:asciiTheme="minorHAnsi" w:hAnsiTheme="minorHAnsi" w:cstheme="minorHAnsi"/>
        </w:rPr>
        <w:t xml:space="preserve">do </w:t>
      </w:r>
      <w:r w:rsidR="00D94847" w:rsidRPr="00C900C7">
        <w:rPr>
          <w:rFonts w:asciiTheme="minorHAnsi" w:hAnsiTheme="minorHAnsi" w:cstheme="minorHAnsi"/>
          <w:b/>
        </w:rPr>
        <w:t>Despacho SUB PGE/GAB nº 1763/2017</w:t>
      </w:r>
      <w:r w:rsidR="00D94847" w:rsidRPr="00C900C7">
        <w:rPr>
          <w:rFonts w:asciiTheme="minorHAnsi" w:hAnsiTheme="minorHAnsi" w:cstheme="minorHAnsi"/>
        </w:rPr>
        <w:t xml:space="preserve">, com amparo no art. 3º, incisos II, III e VII do Decreto nº 50.817/2016, </w:t>
      </w:r>
      <w:r w:rsidR="00DF4DFA" w:rsidRPr="00C900C7">
        <w:rPr>
          <w:rFonts w:asciiTheme="minorHAnsi" w:hAnsiTheme="minorHAnsi" w:cstheme="minorHAnsi"/>
        </w:rPr>
        <w:t>para exercício da sua missão institucional, qual seja a assessoria dos órgãos que integram a Administração Direta e Indireta do Poder Executivo Estadual, para que exerçam suas atividades de acordo com os princípios da boa administração, em conformidade com os requisitos legais, máxima economicidade e melhoria contínua do serviço público</w:t>
      </w:r>
      <w:r w:rsidR="00286559" w:rsidRPr="00C900C7">
        <w:rPr>
          <w:rFonts w:asciiTheme="minorHAnsi" w:hAnsiTheme="minorHAnsi" w:cstheme="minorHAnsi"/>
        </w:rPr>
        <w:t>.</w:t>
      </w:r>
    </w:p>
    <w:p w:rsidR="001E04E6" w:rsidRPr="00733700" w:rsidRDefault="00722492" w:rsidP="00733700">
      <w:pPr>
        <w:spacing w:after="0" w:line="360" w:lineRule="auto"/>
        <w:ind w:firstLine="851"/>
        <w:jc w:val="both"/>
        <w:rPr>
          <w:rStyle w:val="Forte"/>
          <w:rFonts w:asciiTheme="minorHAnsi" w:hAnsiTheme="minorHAnsi" w:cstheme="minorHAnsi"/>
          <w:b w:val="0"/>
        </w:rPr>
      </w:pPr>
      <w:r w:rsidRPr="00733700">
        <w:rPr>
          <w:rFonts w:asciiTheme="minorHAnsi" w:hAnsiTheme="minorHAnsi" w:cstheme="minorHAnsi"/>
          <w:bCs/>
        </w:rPr>
        <w:t xml:space="preserve">A análise do </w:t>
      </w:r>
      <w:r w:rsidR="009F467A" w:rsidRPr="00733700">
        <w:rPr>
          <w:rFonts w:asciiTheme="minorHAnsi" w:hAnsiTheme="minorHAnsi" w:cstheme="minorHAnsi"/>
        </w:rPr>
        <w:t xml:space="preserve">Processo Administrativo nº </w:t>
      </w:r>
      <w:r w:rsidR="00DF4DFA" w:rsidRPr="00733700">
        <w:rPr>
          <w:rFonts w:asciiTheme="minorHAnsi" w:hAnsiTheme="minorHAnsi" w:cstheme="minorHAnsi"/>
          <w:bCs/>
        </w:rPr>
        <w:t>41010</w:t>
      </w:r>
      <w:r w:rsidR="00733700">
        <w:rPr>
          <w:rFonts w:asciiTheme="minorHAnsi" w:hAnsiTheme="minorHAnsi" w:cstheme="minorHAnsi"/>
          <w:bCs/>
        </w:rPr>
        <w:t>-</w:t>
      </w:r>
      <w:r w:rsidR="00DF4DFA" w:rsidRPr="00733700">
        <w:rPr>
          <w:rFonts w:asciiTheme="minorHAnsi" w:hAnsiTheme="minorHAnsi" w:cstheme="minorHAnsi"/>
          <w:bCs/>
        </w:rPr>
        <w:t>1270/2017</w:t>
      </w:r>
      <w:r w:rsidR="00DF4DFA" w:rsidRPr="00733700">
        <w:rPr>
          <w:rFonts w:asciiTheme="minorHAnsi" w:hAnsiTheme="minorHAnsi" w:cstheme="minorHAnsi"/>
          <w:b/>
          <w:bCs/>
        </w:rPr>
        <w:t xml:space="preserve"> </w:t>
      </w:r>
      <w:r w:rsidRPr="00733700">
        <w:rPr>
          <w:rFonts w:asciiTheme="minorHAnsi" w:hAnsiTheme="minorHAnsi" w:cstheme="minorHAnsi"/>
          <w:bCs/>
        </w:rPr>
        <w:t xml:space="preserve">restringiu-se à </w:t>
      </w:r>
      <w:r w:rsidR="008A7267" w:rsidRPr="00733700">
        <w:rPr>
          <w:rFonts w:asciiTheme="minorHAnsi" w:hAnsiTheme="minorHAnsi" w:cstheme="minorHAnsi"/>
          <w:bCs/>
        </w:rPr>
        <w:t>observância da legalidade e legitimidade dos atos praticados</w:t>
      </w:r>
      <w:r w:rsidR="000F70E5" w:rsidRPr="00733700">
        <w:rPr>
          <w:rFonts w:asciiTheme="minorHAnsi" w:hAnsiTheme="minorHAnsi" w:cstheme="minorHAnsi"/>
          <w:bCs/>
        </w:rPr>
        <w:t>, assim como a observância da eficácia e eficiência na aplicação dos recursos públicos.</w:t>
      </w:r>
      <w:r w:rsidR="00792A1C" w:rsidRPr="00733700">
        <w:rPr>
          <w:rStyle w:val="Forte"/>
          <w:rFonts w:asciiTheme="minorHAnsi" w:hAnsiTheme="minorHAnsi" w:cstheme="minorHAnsi"/>
          <w:b w:val="0"/>
        </w:rPr>
        <w:t xml:space="preserve"> </w:t>
      </w:r>
    </w:p>
    <w:p w:rsidR="00070257" w:rsidRPr="00733700" w:rsidRDefault="00722492" w:rsidP="00733700">
      <w:pPr>
        <w:pStyle w:val="SemEspaamento"/>
        <w:spacing w:line="360" w:lineRule="auto"/>
        <w:ind w:firstLine="708"/>
        <w:jc w:val="both"/>
        <w:rPr>
          <w:rFonts w:asciiTheme="minorHAnsi" w:hAnsiTheme="minorHAnsi" w:cstheme="minorHAnsi"/>
          <w:bCs/>
        </w:rPr>
      </w:pPr>
      <w:r w:rsidRPr="00733700">
        <w:rPr>
          <w:rFonts w:asciiTheme="minorHAnsi" w:hAnsiTheme="minorHAnsi" w:cstheme="minorHAnsi"/>
        </w:rPr>
        <w:t xml:space="preserve">Feitas as considerações PRELIMINARES acima expostas, passamos a analisar os aspectos que merecem relevo na aferição da </w:t>
      </w:r>
      <w:r w:rsidRPr="00733700">
        <w:rPr>
          <w:rFonts w:asciiTheme="minorHAnsi" w:hAnsiTheme="minorHAnsi" w:cstheme="minorHAnsi"/>
          <w:i/>
        </w:rPr>
        <w:t xml:space="preserve">“análise e </w:t>
      </w:r>
      <w:r w:rsidR="00792A1C" w:rsidRPr="00733700">
        <w:rPr>
          <w:rFonts w:asciiTheme="minorHAnsi" w:hAnsiTheme="minorHAnsi" w:cstheme="minorHAnsi"/>
          <w:i/>
        </w:rPr>
        <w:t>p</w:t>
      </w:r>
      <w:r w:rsidR="00FA1C87" w:rsidRPr="00733700">
        <w:rPr>
          <w:rFonts w:asciiTheme="minorHAnsi" w:hAnsiTheme="minorHAnsi" w:cstheme="minorHAnsi"/>
          <w:i/>
        </w:rPr>
        <w:t>a</w:t>
      </w:r>
      <w:r w:rsidR="00792A1C" w:rsidRPr="00733700">
        <w:rPr>
          <w:rFonts w:asciiTheme="minorHAnsi" w:hAnsiTheme="minorHAnsi" w:cstheme="minorHAnsi"/>
          <w:i/>
        </w:rPr>
        <w:t>recer</w:t>
      </w:r>
      <w:r w:rsidRPr="00733700">
        <w:rPr>
          <w:rFonts w:asciiTheme="minorHAnsi" w:hAnsiTheme="minorHAnsi" w:cstheme="minorHAnsi"/>
          <w:i/>
        </w:rPr>
        <w:t xml:space="preserve"> técnic</w:t>
      </w:r>
      <w:r w:rsidR="00792A1C" w:rsidRPr="00733700">
        <w:rPr>
          <w:rFonts w:asciiTheme="minorHAnsi" w:hAnsiTheme="minorHAnsi" w:cstheme="minorHAnsi"/>
          <w:i/>
        </w:rPr>
        <w:t>o</w:t>
      </w:r>
      <w:r w:rsidRPr="00733700">
        <w:rPr>
          <w:rFonts w:asciiTheme="minorHAnsi" w:hAnsiTheme="minorHAnsi" w:cstheme="minorHAnsi"/>
          <w:i/>
        </w:rPr>
        <w:t xml:space="preserve">”, </w:t>
      </w:r>
      <w:r w:rsidRPr="00733700">
        <w:rPr>
          <w:rFonts w:asciiTheme="minorHAnsi" w:hAnsiTheme="minorHAnsi" w:cstheme="minorHAnsi"/>
        </w:rPr>
        <w:t xml:space="preserve">conforme requerido pela Chefia de Gabinete (fl. </w:t>
      </w:r>
      <w:r w:rsidR="000F70E5" w:rsidRPr="00733700">
        <w:rPr>
          <w:rFonts w:asciiTheme="minorHAnsi" w:hAnsiTheme="minorHAnsi" w:cstheme="minorHAnsi"/>
        </w:rPr>
        <w:t>1.719</w:t>
      </w:r>
      <w:r w:rsidRPr="00733700">
        <w:rPr>
          <w:rFonts w:asciiTheme="minorHAnsi" w:hAnsiTheme="minorHAnsi" w:cstheme="minorHAnsi"/>
        </w:rPr>
        <w:t xml:space="preserve">). </w:t>
      </w:r>
      <w:r w:rsidR="00EF5C18" w:rsidRPr="00733700">
        <w:rPr>
          <w:rFonts w:asciiTheme="minorHAnsi" w:hAnsiTheme="minorHAnsi" w:cstheme="minorHAnsi"/>
          <w:bCs/>
        </w:rPr>
        <w:t>Para tanto, foram os autos instruídos, dentre outros, com a documentação a seguir</w:t>
      </w:r>
      <w:r w:rsidR="00C63201" w:rsidRPr="00733700">
        <w:rPr>
          <w:rFonts w:asciiTheme="minorHAnsi" w:hAnsiTheme="minorHAnsi" w:cstheme="minorHAnsi"/>
          <w:bCs/>
        </w:rPr>
        <w:t>:</w:t>
      </w:r>
    </w:p>
    <w:p w:rsidR="00946224" w:rsidRPr="00733700" w:rsidRDefault="00946224"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 xml:space="preserve">Memorando nº 43/2017, datado de 26/01/2017, </w:t>
      </w:r>
      <w:r w:rsidR="00FE00F0" w:rsidRPr="00733700">
        <w:rPr>
          <w:rFonts w:asciiTheme="minorHAnsi" w:hAnsiTheme="minorHAnsi" w:cstheme="minorHAnsi"/>
        </w:rPr>
        <w:t>da lavra d</w:t>
      </w:r>
      <w:r w:rsidR="003262B7" w:rsidRPr="00733700">
        <w:rPr>
          <w:rFonts w:asciiTheme="minorHAnsi" w:hAnsiTheme="minorHAnsi" w:cstheme="minorHAnsi"/>
        </w:rPr>
        <w:t>a</w:t>
      </w:r>
      <w:r w:rsidR="009F467A" w:rsidRPr="00733700">
        <w:rPr>
          <w:rFonts w:asciiTheme="minorHAnsi" w:hAnsiTheme="minorHAnsi" w:cstheme="minorHAnsi"/>
        </w:rPr>
        <w:t xml:space="preserve"> </w:t>
      </w:r>
      <w:r w:rsidR="003262B7" w:rsidRPr="00733700">
        <w:rPr>
          <w:rFonts w:asciiTheme="minorHAnsi" w:hAnsiTheme="minorHAnsi" w:cstheme="minorHAnsi"/>
        </w:rPr>
        <w:t xml:space="preserve">Supervisora </w:t>
      </w:r>
      <w:r w:rsidRPr="00733700">
        <w:rPr>
          <w:rFonts w:asciiTheme="minorHAnsi" w:hAnsiTheme="minorHAnsi" w:cstheme="minorHAnsi"/>
        </w:rPr>
        <w:t>de Logística</w:t>
      </w:r>
      <w:r w:rsidR="009F467A" w:rsidRPr="00733700">
        <w:rPr>
          <w:rFonts w:asciiTheme="minorHAnsi" w:hAnsiTheme="minorHAnsi" w:cstheme="minorHAnsi"/>
        </w:rPr>
        <w:t>, Sr</w:t>
      </w:r>
      <w:r w:rsidR="003262B7" w:rsidRPr="00733700">
        <w:rPr>
          <w:rFonts w:asciiTheme="minorHAnsi" w:hAnsiTheme="minorHAnsi" w:cstheme="minorHAnsi"/>
        </w:rPr>
        <w:t>a</w:t>
      </w:r>
      <w:r w:rsidR="009F467A" w:rsidRPr="00733700">
        <w:rPr>
          <w:rFonts w:asciiTheme="minorHAnsi" w:hAnsiTheme="minorHAnsi" w:cstheme="minorHAnsi"/>
        </w:rPr>
        <w:t xml:space="preserve">. </w:t>
      </w:r>
      <w:r w:rsidRPr="00733700">
        <w:rPr>
          <w:rFonts w:asciiTheme="minorHAnsi" w:hAnsiTheme="minorHAnsi" w:cstheme="minorHAnsi"/>
        </w:rPr>
        <w:t xml:space="preserve">Kelly Mary Viana dos Santos, matrícula nº 3798-2 e Termo de Referência, sem data, da lavra da referida servidora, </w:t>
      </w:r>
      <w:r w:rsidR="00C45D23" w:rsidRPr="00733700">
        <w:rPr>
          <w:rFonts w:asciiTheme="minorHAnsi" w:hAnsiTheme="minorHAnsi" w:cstheme="minorHAnsi"/>
        </w:rPr>
        <w:t>contendo 279 itens</w:t>
      </w:r>
      <w:r w:rsidRPr="00733700">
        <w:rPr>
          <w:rFonts w:asciiTheme="minorHAnsi" w:hAnsiTheme="minorHAnsi" w:cstheme="minorHAnsi"/>
        </w:rPr>
        <w:t xml:space="preserve"> (fls. 02/24).</w:t>
      </w:r>
    </w:p>
    <w:p w:rsidR="00C45D23" w:rsidRPr="00733700" w:rsidRDefault="00946224"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 xml:space="preserve">Despacho nº 097/2017 – SECARP, </w:t>
      </w:r>
      <w:r w:rsidR="009F5D11" w:rsidRPr="00733700">
        <w:rPr>
          <w:rFonts w:asciiTheme="minorHAnsi" w:hAnsiTheme="minorHAnsi" w:cstheme="minorHAnsi"/>
        </w:rPr>
        <w:t>datad</w:t>
      </w:r>
      <w:r w:rsidR="003262B7" w:rsidRPr="00733700">
        <w:rPr>
          <w:rFonts w:asciiTheme="minorHAnsi" w:hAnsiTheme="minorHAnsi" w:cstheme="minorHAnsi"/>
        </w:rPr>
        <w:t>o</w:t>
      </w:r>
      <w:r w:rsidR="009F5D11" w:rsidRPr="00733700">
        <w:rPr>
          <w:rFonts w:asciiTheme="minorHAnsi" w:hAnsiTheme="minorHAnsi" w:cstheme="minorHAnsi"/>
        </w:rPr>
        <w:t xml:space="preserve"> de </w:t>
      </w:r>
      <w:r w:rsidRPr="00733700">
        <w:rPr>
          <w:rFonts w:asciiTheme="minorHAnsi" w:hAnsiTheme="minorHAnsi" w:cstheme="minorHAnsi"/>
        </w:rPr>
        <w:t>27/01/2017</w:t>
      </w:r>
      <w:r w:rsidR="00F21A15" w:rsidRPr="00733700">
        <w:rPr>
          <w:rFonts w:asciiTheme="minorHAnsi" w:hAnsiTheme="minorHAnsi" w:cstheme="minorHAnsi"/>
        </w:rPr>
        <w:t xml:space="preserve">, </w:t>
      </w:r>
      <w:r w:rsidRPr="00733700">
        <w:rPr>
          <w:rFonts w:asciiTheme="minorHAnsi" w:hAnsiTheme="minorHAnsi" w:cstheme="minorHAnsi"/>
        </w:rPr>
        <w:t xml:space="preserve">da lavra do Gestor do Serviço de Controle de Atas de Registro de Preços, </w:t>
      </w:r>
      <w:r w:rsidR="00C45D23" w:rsidRPr="00733700">
        <w:rPr>
          <w:rFonts w:asciiTheme="minorHAnsi" w:hAnsiTheme="minorHAnsi" w:cstheme="minorHAnsi"/>
        </w:rPr>
        <w:t xml:space="preserve">Sr. José Cícero Rocha Cavalcante, </w:t>
      </w:r>
      <w:r w:rsidRPr="00733700">
        <w:rPr>
          <w:rFonts w:asciiTheme="minorHAnsi" w:hAnsiTheme="minorHAnsi" w:cstheme="minorHAnsi"/>
        </w:rPr>
        <w:t>matrícula nº 2654-9</w:t>
      </w:r>
      <w:r w:rsidR="00C45D23" w:rsidRPr="00733700">
        <w:rPr>
          <w:rFonts w:asciiTheme="minorHAnsi" w:hAnsiTheme="minorHAnsi" w:cstheme="minorHAnsi"/>
        </w:rPr>
        <w:t xml:space="preserve"> (fl.25),</w:t>
      </w:r>
      <w:r w:rsidRPr="00733700">
        <w:rPr>
          <w:rFonts w:asciiTheme="minorHAnsi" w:hAnsiTheme="minorHAnsi" w:cstheme="minorHAnsi"/>
        </w:rPr>
        <w:t xml:space="preserve"> </w:t>
      </w:r>
      <w:r w:rsidR="00C45D23" w:rsidRPr="00733700">
        <w:rPr>
          <w:rFonts w:asciiTheme="minorHAnsi" w:hAnsiTheme="minorHAnsi" w:cstheme="minorHAnsi"/>
        </w:rPr>
        <w:t>Relatórios de Cotação (fls. 26/82, 83/124, 125/175, 176/213), extraídos do Portal de Compras Governamentais (</w:t>
      </w:r>
      <w:hyperlink r:id="rId8" w:history="1">
        <w:r w:rsidR="00C45D23" w:rsidRPr="00733700">
          <w:rPr>
            <w:rStyle w:val="Hyperlink"/>
            <w:rFonts w:asciiTheme="minorHAnsi" w:hAnsiTheme="minorHAnsi" w:cstheme="minorHAnsi"/>
          </w:rPr>
          <w:t>https://www.comprasgovernamentais.gov.br</w:t>
        </w:r>
      </w:hyperlink>
      <w:r w:rsidR="00C45D23" w:rsidRPr="00733700">
        <w:rPr>
          <w:rFonts w:asciiTheme="minorHAnsi" w:hAnsiTheme="minorHAnsi" w:cstheme="minorHAnsi"/>
        </w:rPr>
        <w:t>), e Mapa de Preços (fls. 214/230 e 231/234).</w:t>
      </w:r>
    </w:p>
    <w:p w:rsidR="007E28E4" w:rsidRPr="00733700" w:rsidRDefault="007E28E4"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lastRenderedPageBreak/>
        <w:t>Despacho s/nº, datado de 23.02.2017, da lavra do Gestor do Serviço de Cotação/UNCISAL, Sr. Anthony M. de Oliveira, com apresentação de justificativa quanto ao método de cotação escolhido, nos termos da Instrução Normativa AMGESP nº 001/2016</w:t>
      </w:r>
      <w:r w:rsidR="00B846AB" w:rsidRPr="00733700">
        <w:rPr>
          <w:rFonts w:asciiTheme="minorHAnsi" w:hAnsiTheme="minorHAnsi" w:cstheme="minorHAnsi"/>
        </w:rPr>
        <w:t xml:space="preserve"> (fl.235)</w:t>
      </w:r>
      <w:r w:rsidRPr="00733700">
        <w:rPr>
          <w:rFonts w:asciiTheme="minorHAnsi" w:hAnsiTheme="minorHAnsi" w:cstheme="minorHAnsi"/>
        </w:rPr>
        <w:t>. Merece destaque o trecho a seguir:</w:t>
      </w:r>
    </w:p>
    <w:p w:rsidR="007E28E4" w:rsidRPr="00670EE6" w:rsidRDefault="007E28E4" w:rsidP="00733700">
      <w:pPr>
        <w:pStyle w:val="PargrafodaLista"/>
        <w:suppressAutoHyphens/>
        <w:spacing w:before="0" w:after="0" w:line="360" w:lineRule="auto"/>
        <w:ind w:left="2835"/>
        <w:rPr>
          <w:rFonts w:asciiTheme="minorHAnsi" w:hAnsiTheme="minorHAnsi" w:cstheme="minorHAnsi"/>
          <w:sz w:val="18"/>
          <w:szCs w:val="18"/>
        </w:rPr>
      </w:pPr>
      <w:proofErr w:type="gramStart"/>
      <w:r w:rsidRPr="00670EE6">
        <w:rPr>
          <w:rFonts w:asciiTheme="minorHAnsi" w:hAnsiTheme="minorHAnsi" w:cstheme="minorHAnsi"/>
          <w:sz w:val="18"/>
          <w:szCs w:val="18"/>
        </w:rPr>
        <w:t>“</w:t>
      </w:r>
      <w:proofErr w:type="gramEnd"/>
      <w:r w:rsidRPr="00670EE6">
        <w:rPr>
          <w:rFonts w:asciiTheme="minorHAnsi" w:hAnsiTheme="minorHAnsi" w:cstheme="minorHAnsi"/>
          <w:sz w:val="18"/>
          <w:szCs w:val="18"/>
        </w:rPr>
        <w:t>(...) Dito isto, é necessário consignar que foram acostadas aos autos cotações extraídas do Portal de Compras Governamentais, (fls. 26-213) conforme endereço eletrônico indicado no Art. 2º, I, da Instrução Normativa AMGESP 001/2016, sendo alcançado na referida pesquisa produtos cujos valores atendem na íntegra o referido Artigo, assim como produtos somente com 02 (dois), 01 (um) e nenhum preço.</w:t>
      </w:r>
    </w:p>
    <w:p w:rsidR="00D2617C" w:rsidRPr="00670EE6" w:rsidRDefault="00D2617C" w:rsidP="00733700">
      <w:pPr>
        <w:pStyle w:val="PargrafodaLista"/>
        <w:suppressAutoHyphens/>
        <w:spacing w:before="0" w:after="0" w:line="360" w:lineRule="auto"/>
        <w:ind w:left="2835"/>
        <w:rPr>
          <w:rFonts w:asciiTheme="minorHAnsi" w:hAnsiTheme="minorHAnsi" w:cstheme="minorHAnsi"/>
          <w:sz w:val="18"/>
          <w:szCs w:val="18"/>
        </w:rPr>
      </w:pPr>
      <w:r w:rsidRPr="00670EE6">
        <w:rPr>
          <w:rFonts w:asciiTheme="minorHAnsi" w:hAnsiTheme="minorHAnsi" w:cstheme="minorHAnsi"/>
          <w:sz w:val="18"/>
          <w:szCs w:val="18"/>
        </w:rPr>
        <w:t>Nesse sentido, este SECOT passou a realizar buscas por novos preços no mercado, seguindo o parâmetro constante no inciso II do Art. 2º, bem como através das possibilidades descritas no Art. 3º da IN AMGESP 001/2016, no entanto, todos os esforços empreendidos restaram infrutíferos</w:t>
      </w:r>
      <w:r w:rsidR="00B846AB" w:rsidRPr="00670EE6">
        <w:rPr>
          <w:rFonts w:asciiTheme="minorHAnsi" w:hAnsiTheme="minorHAnsi" w:cstheme="minorHAnsi"/>
          <w:sz w:val="18"/>
          <w:szCs w:val="18"/>
        </w:rPr>
        <w:t>, pois tanto nos sites onde foram realizadas as pesquisas, como sequentemente em contato com os fornecedores cadastrados nesta UNCISAL não foram logrados êxitos, neste último caso pelo não fornecimento do produto almejado.</w:t>
      </w:r>
      <w:proofErr w:type="gramStart"/>
      <w:r w:rsidR="00B846AB" w:rsidRPr="00670EE6">
        <w:rPr>
          <w:rFonts w:asciiTheme="minorHAnsi" w:hAnsiTheme="minorHAnsi" w:cstheme="minorHAnsi"/>
          <w:sz w:val="18"/>
          <w:szCs w:val="18"/>
        </w:rPr>
        <w:t>”</w:t>
      </w:r>
      <w:proofErr w:type="gramEnd"/>
    </w:p>
    <w:p w:rsidR="00B846AB" w:rsidRPr="00733700" w:rsidRDefault="00B846AB"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Autorização expressa da contratação por dispensa de licitação, sob o argumento de situação emergencial, datada de 24/02/2017, da lavra da Reitora da UNCISAL, Sra. Rozangela Maria de Almeida Fernandes Wyszomirska (fl.236).</w:t>
      </w:r>
    </w:p>
    <w:p w:rsidR="00EF5C18" w:rsidRPr="00733700" w:rsidRDefault="00EF5C18"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Aviso de cotação destinado a empresas do ramo médico-hospitalar, datado de 07/03/2017, publicado no Diário Oficial do Estado de Alagoas (fl.238).</w:t>
      </w:r>
    </w:p>
    <w:p w:rsidR="00532AF9" w:rsidRPr="00733700" w:rsidRDefault="00532AF9"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 xml:space="preserve">Despacho s/nº, datado de 08/03/2017, da lavra da Supervisora de Logística, Sra. Kelly Mary Viana dos Santos, matrícula nº 3798-2, informando a necessidade de alteração do Termo de Referência, com acréscimo </w:t>
      </w:r>
      <w:r w:rsidR="008B21B3" w:rsidRPr="00733700">
        <w:rPr>
          <w:rFonts w:asciiTheme="minorHAnsi" w:hAnsiTheme="minorHAnsi" w:cstheme="minorHAnsi"/>
        </w:rPr>
        <w:t xml:space="preserve">e exclusão </w:t>
      </w:r>
      <w:r w:rsidRPr="00733700">
        <w:rPr>
          <w:rFonts w:asciiTheme="minorHAnsi" w:hAnsiTheme="minorHAnsi" w:cstheme="minorHAnsi"/>
        </w:rPr>
        <w:t>de itens (fl. 2</w:t>
      </w:r>
      <w:r w:rsidR="004938DA" w:rsidRPr="00733700">
        <w:rPr>
          <w:rFonts w:asciiTheme="minorHAnsi" w:hAnsiTheme="minorHAnsi" w:cstheme="minorHAnsi"/>
        </w:rPr>
        <w:t>42/2</w:t>
      </w:r>
      <w:r w:rsidRPr="00733700">
        <w:rPr>
          <w:rFonts w:asciiTheme="minorHAnsi" w:hAnsiTheme="minorHAnsi" w:cstheme="minorHAnsi"/>
        </w:rPr>
        <w:t>43). Verifica-se a juntada do novo termo</w:t>
      </w:r>
      <w:r w:rsidR="008B21B3" w:rsidRPr="00733700">
        <w:rPr>
          <w:rFonts w:asciiTheme="minorHAnsi" w:hAnsiTheme="minorHAnsi" w:cstheme="minorHAnsi"/>
        </w:rPr>
        <w:t>, contendo 373 itens (</w:t>
      </w:r>
      <w:r w:rsidRPr="00733700">
        <w:rPr>
          <w:rFonts w:asciiTheme="minorHAnsi" w:hAnsiTheme="minorHAnsi" w:cstheme="minorHAnsi"/>
        </w:rPr>
        <w:t>fls. 244/</w:t>
      </w:r>
      <w:r w:rsidR="008B21B3" w:rsidRPr="00733700">
        <w:rPr>
          <w:rFonts w:asciiTheme="minorHAnsi" w:hAnsiTheme="minorHAnsi" w:cstheme="minorHAnsi"/>
        </w:rPr>
        <w:t>260)</w:t>
      </w:r>
      <w:r w:rsidRPr="00733700">
        <w:rPr>
          <w:rFonts w:asciiTheme="minorHAnsi" w:hAnsiTheme="minorHAnsi" w:cstheme="minorHAnsi"/>
        </w:rPr>
        <w:t>.</w:t>
      </w:r>
    </w:p>
    <w:p w:rsidR="00F43954" w:rsidRPr="00733700" w:rsidRDefault="008B21B3"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Extrato do Resultado Final da Cotação, datado de 30/03/2017, publicado no Diário Oficial do Estado de Alagoas</w:t>
      </w:r>
      <w:r w:rsidR="004938DA" w:rsidRPr="00733700">
        <w:rPr>
          <w:rFonts w:asciiTheme="minorHAnsi" w:hAnsiTheme="minorHAnsi" w:cstheme="minorHAnsi"/>
        </w:rPr>
        <w:t xml:space="preserve"> (fl.263)</w:t>
      </w:r>
      <w:r w:rsidRPr="00733700">
        <w:rPr>
          <w:rFonts w:asciiTheme="minorHAnsi" w:hAnsiTheme="minorHAnsi" w:cstheme="minorHAnsi"/>
        </w:rPr>
        <w:t>, fazendo referência a processo administrativo distinto (41010-4593/2017), apresentando a classificação das empresas com menor preço por item, quais sejam: Flex Hospitalar Ltda. (R$ 60.055,50); D</w:t>
      </w:r>
      <w:r w:rsidR="0021405A" w:rsidRPr="00733700">
        <w:rPr>
          <w:rFonts w:asciiTheme="minorHAnsi" w:hAnsiTheme="minorHAnsi" w:cstheme="minorHAnsi"/>
        </w:rPr>
        <w:t>&amp;</w:t>
      </w:r>
      <w:r w:rsidRPr="00733700">
        <w:rPr>
          <w:rFonts w:asciiTheme="minorHAnsi" w:hAnsiTheme="minorHAnsi" w:cstheme="minorHAnsi"/>
        </w:rPr>
        <w:t xml:space="preserve">A Farma Comercial (R$ 14.624,50); JB Oliveira Distribuidora (R$ 7.150,00); Drogafonte Ltda. (R$ 61.738,85), DHOSP Distribuidora Hospitalar (R$ 160.198,10); Difarma Comércio Produtos Médicos (R$ 19.363,70); </w:t>
      </w:r>
      <w:r w:rsidR="00F43954" w:rsidRPr="00733700">
        <w:rPr>
          <w:rFonts w:asciiTheme="minorHAnsi" w:hAnsiTheme="minorHAnsi" w:cstheme="minorHAnsi"/>
        </w:rPr>
        <w:t>Meta Hospitalar (R$ 21.714,80); Elaine Maria Gomes Xavier (806,00); PB Farma Distribuidora de Medicamentos (R$ 143.302,90); Comed Produtos Médicos (R$ 1.293,00); Acácia Com</w:t>
      </w:r>
      <w:r w:rsidR="0069572D" w:rsidRPr="00733700">
        <w:rPr>
          <w:rFonts w:asciiTheme="minorHAnsi" w:hAnsiTheme="minorHAnsi" w:cstheme="minorHAnsi"/>
        </w:rPr>
        <w:t>ércio</w:t>
      </w:r>
      <w:r w:rsidR="00F43954" w:rsidRPr="00733700">
        <w:rPr>
          <w:rFonts w:asciiTheme="minorHAnsi" w:hAnsiTheme="minorHAnsi" w:cstheme="minorHAnsi"/>
        </w:rPr>
        <w:t xml:space="preserve"> de Medicamentos (R$ 112.252,00); Oliveira Prod</w:t>
      </w:r>
      <w:r w:rsidR="0069572D" w:rsidRPr="00733700">
        <w:rPr>
          <w:rFonts w:asciiTheme="minorHAnsi" w:hAnsiTheme="minorHAnsi" w:cstheme="minorHAnsi"/>
        </w:rPr>
        <w:t>utos</w:t>
      </w:r>
      <w:r w:rsidR="00F43954" w:rsidRPr="00733700">
        <w:rPr>
          <w:rFonts w:asciiTheme="minorHAnsi" w:hAnsiTheme="minorHAnsi" w:cstheme="minorHAnsi"/>
        </w:rPr>
        <w:t xml:space="preserve"> Farma (R$ 29.336,00); Alagoas Com</w:t>
      </w:r>
      <w:r w:rsidR="0069572D" w:rsidRPr="00733700">
        <w:rPr>
          <w:rFonts w:asciiTheme="minorHAnsi" w:hAnsiTheme="minorHAnsi" w:cstheme="minorHAnsi"/>
        </w:rPr>
        <w:t>ercial</w:t>
      </w:r>
      <w:r w:rsidR="00F43954" w:rsidRPr="00733700">
        <w:rPr>
          <w:rFonts w:asciiTheme="minorHAnsi" w:hAnsiTheme="minorHAnsi" w:cstheme="minorHAnsi"/>
        </w:rPr>
        <w:t xml:space="preserve"> Médica (319.151,85); Depósito Geral de Suprimentos </w:t>
      </w:r>
      <w:r w:rsidR="00F43954" w:rsidRPr="00733700">
        <w:rPr>
          <w:rFonts w:asciiTheme="minorHAnsi" w:hAnsiTheme="minorHAnsi" w:cstheme="minorHAnsi"/>
        </w:rPr>
        <w:lastRenderedPageBreak/>
        <w:t xml:space="preserve">(R$ 7.548,20); Comercial Cirúrgica Rioclarense (R$ 239.033,92); Elfa Medicamentos (R$ 84.716,10); União Química Farma (R$ 78.619,50); CSMED Produtos Hospitalares (R$ 29.242,50); Cristália Produtos Químicos (R$ 121.340,75); DM Distribuidora de Medicamentos (R$ 245.596,50); Medlife Distribuidora de Medicamentos (R$ 104.108,00), totalizando </w:t>
      </w:r>
      <w:r w:rsidR="00F43954" w:rsidRPr="00733700">
        <w:rPr>
          <w:rFonts w:asciiTheme="minorHAnsi" w:hAnsiTheme="minorHAnsi" w:cstheme="minorHAnsi"/>
          <w:b/>
        </w:rPr>
        <w:t>R$ 1.861.192,67 (um milhão, oitocentos e sessenta e um mil, cento e noventa e dois reais e sessenta e sete centavos)</w:t>
      </w:r>
      <w:r w:rsidR="0021405A" w:rsidRPr="00733700">
        <w:rPr>
          <w:rFonts w:asciiTheme="minorHAnsi" w:hAnsiTheme="minorHAnsi" w:cstheme="minorHAnsi"/>
        </w:rPr>
        <w:t>, às fls. 263/264</w:t>
      </w:r>
      <w:r w:rsidR="00F43954" w:rsidRPr="00733700">
        <w:rPr>
          <w:rFonts w:asciiTheme="minorHAnsi" w:hAnsiTheme="minorHAnsi" w:cstheme="minorHAnsi"/>
        </w:rPr>
        <w:t>.</w:t>
      </w:r>
    </w:p>
    <w:p w:rsidR="0021405A" w:rsidRPr="00733700" w:rsidRDefault="0021405A"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 xml:space="preserve">Propostas comerciais das empresas a seguir: Flex Hospitalar Ltda. (fls. 265/284); D&amp;A Farma Comercial (fls. 285/331); JB Oliveira Distribuidora (fls. 332/338); Drogafonte Ltda. (fls. 339/377), DHOSP Distribuidora Hospitalar (fls. 378/419); Difarma Comércio Produtos Médicos (fls. 422/439); Meta Hospitalar (fls. 440/475); Prontomed Comércio de Materiais Médicos (fls. 476/480); Elaine Maria Gomes Xavier (fls. 481/502); PB Farma Distribuidora de Medicamentos (fls. 503/520); Comed Produtos Médicos (fls. 521/530); Acácia Comércio de Medicamentos (fls. </w:t>
      </w:r>
      <w:r w:rsidR="00F30BBC" w:rsidRPr="00733700">
        <w:rPr>
          <w:rFonts w:asciiTheme="minorHAnsi" w:hAnsiTheme="minorHAnsi" w:cstheme="minorHAnsi"/>
        </w:rPr>
        <w:t>531/553)</w:t>
      </w:r>
      <w:r w:rsidRPr="00733700">
        <w:rPr>
          <w:rFonts w:asciiTheme="minorHAnsi" w:hAnsiTheme="minorHAnsi" w:cstheme="minorHAnsi"/>
        </w:rPr>
        <w:t>; Oliveira Produtos Farma (</w:t>
      </w:r>
      <w:r w:rsidR="00F30BBC" w:rsidRPr="00733700">
        <w:rPr>
          <w:rFonts w:asciiTheme="minorHAnsi" w:hAnsiTheme="minorHAnsi" w:cstheme="minorHAnsi"/>
        </w:rPr>
        <w:t>fls. 554/556</w:t>
      </w:r>
      <w:r w:rsidRPr="00733700">
        <w:rPr>
          <w:rFonts w:asciiTheme="minorHAnsi" w:hAnsiTheme="minorHAnsi" w:cstheme="minorHAnsi"/>
        </w:rPr>
        <w:t>); Alagoas Comercial Médica (</w:t>
      </w:r>
      <w:r w:rsidR="00F30BBC" w:rsidRPr="00733700">
        <w:rPr>
          <w:rFonts w:asciiTheme="minorHAnsi" w:hAnsiTheme="minorHAnsi" w:cstheme="minorHAnsi"/>
        </w:rPr>
        <w:t>fls. 557/567</w:t>
      </w:r>
      <w:r w:rsidRPr="00733700">
        <w:rPr>
          <w:rFonts w:asciiTheme="minorHAnsi" w:hAnsiTheme="minorHAnsi" w:cstheme="minorHAnsi"/>
        </w:rPr>
        <w:t xml:space="preserve">); </w:t>
      </w:r>
      <w:proofErr w:type="gramStart"/>
      <w:r w:rsidR="00F30BBC" w:rsidRPr="00733700">
        <w:rPr>
          <w:rFonts w:asciiTheme="minorHAnsi" w:hAnsiTheme="minorHAnsi" w:cstheme="minorHAnsi"/>
        </w:rPr>
        <w:t>Três Leões Material Hospitalar</w:t>
      </w:r>
      <w:proofErr w:type="gramEnd"/>
      <w:r w:rsidR="00F30BBC" w:rsidRPr="00733700">
        <w:rPr>
          <w:rFonts w:asciiTheme="minorHAnsi" w:hAnsiTheme="minorHAnsi" w:cstheme="minorHAnsi"/>
        </w:rPr>
        <w:t xml:space="preserve"> (fls. 568/575); </w:t>
      </w:r>
      <w:r w:rsidRPr="00733700">
        <w:rPr>
          <w:rFonts w:asciiTheme="minorHAnsi" w:hAnsiTheme="minorHAnsi" w:cstheme="minorHAnsi"/>
        </w:rPr>
        <w:t>Depósito Geral de Suprimentos (</w:t>
      </w:r>
      <w:r w:rsidR="00F30BBC" w:rsidRPr="00733700">
        <w:rPr>
          <w:rFonts w:asciiTheme="minorHAnsi" w:hAnsiTheme="minorHAnsi" w:cstheme="minorHAnsi"/>
        </w:rPr>
        <w:t>fls. 576/583</w:t>
      </w:r>
      <w:r w:rsidRPr="00733700">
        <w:rPr>
          <w:rFonts w:asciiTheme="minorHAnsi" w:hAnsiTheme="minorHAnsi" w:cstheme="minorHAnsi"/>
        </w:rPr>
        <w:t xml:space="preserve">); </w:t>
      </w:r>
      <w:r w:rsidR="00F30BBC" w:rsidRPr="00733700">
        <w:rPr>
          <w:rFonts w:asciiTheme="minorHAnsi" w:hAnsiTheme="minorHAnsi" w:cstheme="minorHAnsi"/>
        </w:rPr>
        <w:t xml:space="preserve">Comercial Cirúrgica Rioclarense (fl. 584/596); </w:t>
      </w:r>
      <w:r w:rsidRPr="00733700">
        <w:rPr>
          <w:rFonts w:asciiTheme="minorHAnsi" w:hAnsiTheme="minorHAnsi" w:cstheme="minorHAnsi"/>
        </w:rPr>
        <w:t>Elfa Medicamentos (</w:t>
      </w:r>
      <w:r w:rsidR="00F30BBC" w:rsidRPr="00733700">
        <w:rPr>
          <w:rFonts w:asciiTheme="minorHAnsi" w:hAnsiTheme="minorHAnsi" w:cstheme="minorHAnsi"/>
        </w:rPr>
        <w:t>fls. 597/</w:t>
      </w:r>
      <w:r w:rsidRPr="00733700">
        <w:rPr>
          <w:rFonts w:asciiTheme="minorHAnsi" w:hAnsiTheme="minorHAnsi" w:cstheme="minorHAnsi"/>
        </w:rPr>
        <w:t>); União Química Farma (</w:t>
      </w:r>
      <w:r w:rsidR="00F30BBC" w:rsidRPr="00733700">
        <w:rPr>
          <w:rFonts w:asciiTheme="minorHAnsi" w:hAnsiTheme="minorHAnsi" w:cstheme="minorHAnsi"/>
        </w:rPr>
        <w:t>fls. 601/652</w:t>
      </w:r>
      <w:r w:rsidRPr="00733700">
        <w:rPr>
          <w:rFonts w:asciiTheme="minorHAnsi" w:hAnsiTheme="minorHAnsi" w:cstheme="minorHAnsi"/>
        </w:rPr>
        <w:t>); CSMED Produtos Hospitalares (</w:t>
      </w:r>
      <w:r w:rsidR="00F30BBC" w:rsidRPr="00733700">
        <w:rPr>
          <w:rFonts w:asciiTheme="minorHAnsi" w:hAnsiTheme="minorHAnsi" w:cstheme="minorHAnsi"/>
        </w:rPr>
        <w:t>fls. 653/663</w:t>
      </w:r>
      <w:r w:rsidRPr="00733700">
        <w:rPr>
          <w:rFonts w:asciiTheme="minorHAnsi" w:hAnsiTheme="minorHAnsi" w:cstheme="minorHAnsi"/>
        </w:rPr>
        <w:t>); Cristália Produtos Químicos (</w:t>
      </w:r>
      <w:r w:rsidR="00F30BBC" w:rsidRPr="00733700">
        <w:rPr>
          <w:rFonts w:asciiTheme="minorHAnsi" w:hAnsiTheme="minorHAnsi" w:cstheme="minorHAnsi"/>
        </w:rPr>
        <w:t>fls. 664/686</w:t>
      </w:r>
      <w:r w:rsidRPr="00733700">
        <w:rPr>
          <w:rFonts w:asciiTheme="minorHAnsi" w:hAnsiTheme="minorHAnsi" w:cstheme="minorHAnsi"/>
        </w:rPr>
        <w:t>); DM Distribuidora de Medicamentos (</w:t>
      </w:r>
      <w:r w:rsidR="00F30BBC" w:rsidRPr="00733700">
        <w:rPr>
          <w:rFonts w:asciiTheme="minorHAnsi" w:hAnsiTheme="minorHAnsi" w:cstheme="minorHAnsi"/>
        </w:rPr>
        <w:t>fls. 687/708</w:t>
      </w:r>
      <w:r w:rsidRPr="00733700">
        <w:rPr>
          <w:rFonts w:asciiTheme="minorHAnsi" w:hAnsiTheme="minorHAnsi" w:cstheme="minorHAnsi"/>
        </w:rPr>
        <w:t xml:space="preserve">); Medlife </w:t>
      </w:r>
      <w:r w:rsidR="00F30BBC" w:rsidRPr="00733700">
        <w:rPr>
          <w:rFonts w:asciiTheme="minorHAnsi" w:hAnsiTheme="minorHAnsi" w:cstheme="minorHAnsi"/>
        </w:rPr>
        <w:t>Distribuidora de Medicamentos (fls. 708/710</w:t>
      </w:r>
      <w:r w:rsidRPr="00733700">
        <w:rPr>
          <w:rFonts w:asciiTheme="minorHAnsi" w:hAnsiTheme="minorHAnsi" w:cstheme="minorHAnsi"/>
        </w:rPr>
        <w:t>)</w:t>
      </w:r>
      <w:r w:rsidR="00F30BBC" w:rsidRPr="00733700">
        <w:rPr>
          <w:rFonts w:asciiTheme="minorHAnsi" w:hAnsiTheme="minorHAnsi" w:cstheme="minorHAnsi"/>
        </w:rPr>
        <w:t>; e Mapa de Preços (fls. 711/732).</w:t>
      </w:r>
    </w:p>
    <w:p w:rsidR="00326B9B" w:rsidRPr="00733700" w:rsidRDefault="00C574AE"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Certidões de regularidade fiscal das empresas acima referidas (fls. 711/</w:t>
      </w:r>
      <w:r w:rsidR="00326B9B" w:rsidRPr="00733700">
        <w:rPr>
          <w:rFonts w:asciiTheme="minorHAnsi" w:hAnsiTheme="minorHAnsi" w:cstheme="minorHAnsi"/>
        </w:rPr>
        <w:t>912).</w:t>
      </w:r>
    </w:p>
    <w:p w:rsidR="00D665D2" w:rsidRPr="00733700" w:rsidRDefault="00D665D2"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 xml:space="preserve">Despacho </w:t>
      </w:r>
      <w:r w:rsidR="001944FE" w:rsidRPr="00733700">
        <w:rPr>
          <w:rFonts w:asciiTheme="minorHAnsi" w:hAnsiTheme="minorHAnsi" w:cstheme="minorHAnsi"/>
        </w:rPr>
        <w:t xml:space="preserve">SULOG </w:t>
      </w:r>
      <w:r w:rsidRPr="00733700">
        <w:rPr>
          <w:rFonts w:asciiTheme="minorHAnsi" w:hAnsiTheme="minorHAnsi" w:cstheme="minorHAnsi"/>
        </w:rPr>
        <w:t xml:space="preserve">s/nº, datado de </w:t>
      </w:r>
      <w:r w:rsidR="001944FE" w:rsidRPr="00733700">
        <w:rPr>
          <w:rFonts w:asciiTheme="minorHAnsi" w:hAnsiTheme="minorHAnsi" w:cstheme="minorHAnsi"/>
        </w:rPr>
        <w:t>24/05</w:t>
      </w:r>
      <w:r w:rsidRPr="00733700">
        <w:rPr>
          <w:rFonts w:asciiTheme="minorHAnsi" w:hAnsiTheme="minorHAnsi" w:cstheme="minorHAnsi"/>
        </w:rPr>
        <w:t xml:space="preserve">/2017, da lavra da Supervisora de Logística, Sra. Kelly Mary Viana dos Santos, matrícula nº 3798-2, informando </w:t>
      </w:r>
      <w:r w:rsidR="001944FE" w:rsidRPr="00733700">
        <w:rPr>
          <w:rFonts w:asciiTheme="minorHAnsi" w:hAnsiTheme="minorHAnsi" w:cstheme="minorHAnsi"/>
        </w:rPr>
        <w:t xml:space="preserve">o ajuste nos quantitativos a serem contratados, </w:t>
      </w:r>
      <w:r w:rsidR="001944FE" w:rsidRPr="00733700">
        <w:rPr>
          <w:rFonts w:asciiTheme="minorHAnsi" w:hAnsiTheme="minorHAnsi" w:cstheme="minorHAnsi"/>
          <w:i/>
        </w:rPr>
        <w:t xml:space="preserve">in verbis: </w:t>
      </w:r>
      <w:r w:rsidR="001944FE" w:rsidRPr="00733700">
        <w:rPr>
          <w:rFonts w:asciiTheme="minorHAnsi" w:hAnsiTheme="minorHAnsi" w:cstheme="minorHAnsi"/>
          <w:b/>
        </w:rPr>
        <w:t>“(...) Em tempo, seguem anexadas planilhas com os quantitativos a serem contratados por cada fornecedor, de acordo com a necessidade atual da Universidade, previamente definido pela reitora”.</w:t>
      </w:r>
      <w:r w:rsidR="001944FE" w:rsidRPr="00733700">
        <w:rPr>
          <w:rFonts w:asciiTheme="minorHAnsi" w:hAnsiTheme="minorHAnsi" w:cstheme="minorHAnsi"/>
        </w:rPr>
        <w:t xml:space="preserve"> O montante a ser contratado foi reduzido de </w:t>
      </w:r>
      <w:r w:rsidR="001944FE" w:rsidRPr="00733700">
        <w:rPr>
          <w:rFonts w:asciiTheme="minorHAnsi" w:hAnsiTheme="minorHAnsi" w:cstheme="minorHAnsi"/>
          <w:b/>
        </w:rPr>
        <w:t>R$1.861.192,67 (um milhão, oitocentos e sessenta e um mil, cento e noventa e dois reais e sessenta e sete centavos)</w:t>
      </w:r>
      <w:r w:rsidR="001944FE" w:rsidRPr="00733700">
        <w:rPr>
          <w:rFonts w:asciiTheme="minorHAnsi" w:hAnsiTheme="minorHAnsi" w:cstheme="minorHAnsi"/>
        </w:rPr>
        <w:t xml:space="preserve"> para </w:t>
      </w:r>
      <w:r w:rsidR="001944FE" w:rsidRPr="00733700">
        <w:rPr>
          <w:rFonts w:asciiTheme="minorHAnsi" w:hAnsiTheme="minorHAnsi" w:cstheme="minorHAnsi"/>
          <w:b/>
        </w:rPr>
        <w:t>R$986.098,46 (novecentos e oitenta e seis mil, noventa e oito reais e quarenta e seis centavos)</w:t>
      </w:r>
      <w:r w:rsidR="001944FE" w:rsidRPr="00733700">
        <w:rPr>
          <w:rFonts w:asciiTheme="minorHAnsi" w:hAnsiTheme="minorHAnsi" w:cstheme="minorHAnsi"/>
        </w:rPr>
        <w:t>.</w:t>
      </w:r>
      <w:r w:rsidR="001944FE" w:rsidRPr="00733700">
        <w:rPr>
          <w:rFonts w:asciiTheme="minorHAnsi" w:hAnsiTheme="minorHAnsi" w:cstheme="minorHAnsi"/>
          <w:b/>
        </w:rPr>
        <w:t xml:space="preserve"> </w:t>
      </w:r>
      <w:r w:rsidR="001944FE" w:rsidRPr="00733700">
        <w:rPr>
          <w:rFonts w:asciiTheme="minorHAnsi" w:hAnsiTheme="minorHAnsi" w:cstheme="minorHAnsi"/>
        </w:rPr>
        <w:t>As reduções foram informadas através de planilhas contendo o quantitativo a ser contratado por cada fornecedor classificado na fase de pesquisa de mercado (fls. 918/944).</w:t>
      </w:r>
    </w:p>
    <w:p w:rsidR="001944FE" w:rsidRPr="00733700" w:rsidRDefault="00A70EED"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Dotação orçamentária, sem consignação do valor a ser contratado, emitida pela Supervisão de Planejamento e Orçamento – SUPLOR (fl. 947).</w:t>
      </w:r>
    </w:p>
    <w:p w:rsidR="00A70EED" w:rsidRPr="00733700" w:rsidRDefault="00A70EED"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lastRenderedPageBreak/>
        <w:t>Expedientes destinados às sociedades empresárias supracitadas, com requerimento de documentos necessários à materialização da contratação pretendida, assim como os respectivos documentos de habilitação jurídica, fiscal e trabalhista (fls. 948/1.386).</w:t>
      </w:r>
    </w:p>
    <w:p w:rsidR="00A70EED" w:rsidRPr="00733700" w:rsidRDefault="00A70EED"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Minutas contratuais (fls. 1.387/1.710).</w:t>
      </w:r>
    </w:p>
    <w:p w:rsidR="0022426D" w:rsidRPr="00733700" w:rsidRDefault="0022426D"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Parecer – COJUR/UNCISAL nº 278/2017, pugnando pela aprovação condicionada da contratação emergencial, desde que sejam observados os seguintes aspectos: a) necessidade de renegociação de alguns itens para alcance do valor referencial; b) atualização dos documentos de regularidade jurídica, fiscal e trabalhista das empresas a serem contratadas; c) contratação pelo gestor da Universidade (fls. 1.712/1.715)</w:t>
      </w:r>
      <w:r w:rsidR="00C900C7">
        <w:rPr>
          <w:rFonts w:asciiTheme="minorHAnsi" w:hAnsiTheme="minorHAnsi" w:cstheme="minorHAnsi"/>
        </w:rPr>
        <w:t>.</w:t>
      </w:r>
    </w:p>
    <w:p w:rsidR="0022426D" w:rsidRPr="00733700" w:rsidRDefault="0022426D"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Despacho – CJ/UNCISAL nº 1.327/2017, anuindo com o posicionamento apresentado no Parecer – COJUR/UNCISAL nº 278/2017 (fl. 1.716).</w:t>
      </w:r>
    </w:p>
    <w:p w:rsidR="004D60CC" w:rsidRPr="00733700" w:rsidRDefault="0022426D"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Despacho s/nº, expedido pelo Vice-Reitor da UNCISAL, Dr. Paulo José Medeiros de Souza Costa, com encaminhamento dos autos à Procuradoria Geral do Estado – PGE/AL, com o fito de análise e emissão de parecer acerca</w:t>
      </w:r>
      <w:r w:rsidR="004D60CC" w:rsidRPr="00733700">
        <w:rPr>
          <w:rFonts w:asciiTheme="minorHAnsi" w:hAnsiTheme="minorHAnsi" w:cstheme="minorHAnsi"/>
        </w:rPr>
        <w:t xml:space="preserve"> da contratação em tela</w:t>
      </w:r>
      <w:r w:rsidR="002E54E3" w:rsidRPr="00733700">
        <w:rPr>
          <w:rFonts w:asciiTheme="minorHAnsi" w:hAnsiTheme="minorHAnsi" w:cstheme="minorHAnsi"/>
        </w:rPr>
        <w:t xml:space="preserve"> (fl.</w:t>
      </w:r>
      <w:r w:rsidR="00C900C7">
        <w:rPr>
          <w:rFonts w:asciiTheme="minorHAnsi" w:hAnsiTheme="minorHAnsi" w:cstheme="minorHAnsi"/>
        </w:rPr>
        <w:t xml:space="preserve"> </w:t>
      </w:r>
      <w:r w:rsidR="002E54E3" w:rsidRPr="00733700">
        <w:rPr>
          <w:rFonts w:asciiTheme="minorHAnsi" w:hAnsiTheme="minorHAnsi" w:cstheme="minorHAnsi"/>
        </w:rPr>
        <w:t>1.717)</w:t>
      </w:r>
      <w:r w:rsidR="004D60CC" w:rsidRPr="00733700">
        <w:rPr>
          <w:rFonts w:asciiTheme="minorHAnsi" w:hAnsiTheme="minorHAnsi" w:cstheme="minorHAnsi"/>
        </w:rPr>
        <w:t>.</w:t>
      </w:r>
    </w:p>
    <w:p w:rsidR="004D60CC" w:rsidRPr="00733700" w:rsidRDefault="004D60CC"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Despacho PGE/PAI/CD nº 540/2015, da lavra do Procurador de Estado, Dr. Omar Coelho de Mello, com acolhimento do Parecer – COJUR/UNCISAL nº 278/2017 e submissão do feito ao Subprocurador Geral do Estado</w:t>
      </w:r>
      <w:r w:rsidR="002E54E3" w:rsidRPr="00733700">
        <w:rPr>
          <w:rFonts w:asciiTheme="minorHAnsi" w:hAnsiTheme="minorHAnsi" w:cstheme="minorHAnsi"/>
        </w:rPr>
        <w:t xml:space="preserve"> (fl. 1.718)</w:t>
      </w:r>
      <w:r w:rsidRPr="00733700">
        <w:rPr>
          <w:rFonts w:asciiTheme="minorHAnsi" w:hAnsiTheme="minorHAnsi" w:cstheme="minorHAnsi"/>
        </w:rPr>
        <w:t>.</w:t>
      </w:r>
    </w:p>
    <w:p w:rsidR="00BB397B" w:rsidRPr="00733700" w:rsidRDefault="004D60CC" w:rsidP="00733700">
      <w:pPr>
        <w:pStyle w:val="PargrafodaLista"/>
        <w:numPr>
          <w:ilvl w:val="0"/>
          <w:numId w:val="22"/>
        </w:numPr>
        <w:suppressAutoHyphens/>
        <w:spacing w:before="0" w:after="0" w:line="360" w:lineRule="auto"/>
        <w:rPr>
          <w:rFonts w:asciiTheme="minorHAnsi" w:hAnsiTheme="minorHAnsi" w:cstheme="minorHAnsi"/>
        </w:rPr>
      </w:pPr>
      <w:r w:rsidRPr="00733700">
        <w:rPr>
          <w:rFonts w:asciiTheme="minorHAnsi" w:hAnsiTheme="minorHAnsi" w:cstheme="minorHAnsi"/>
        </w:rPr>
        <w:t xml:space="preserve">Despacho SUB PGE/GAB nº 1.763/2017, com </w:t>
      </w:r>
      <w:r w:rsidR="00435447" w:rsidRPr="00733700">
        <w:rPr>
          <w:rFonts w:asciiTheme="minorHAnsi" w:hAnsiTheme="minorHAnsi" w:cstheme="minorHAnsi"/>
        </w:rPr>
        <w:t>encaminhamento</w:t>
      </w:r>
      <w:r w:rsidRPr="00733700">
        <w:rPr>
          <w:rFonts w:asciiTheme="minorHAnsi" w:hAnsiTheme="minorHAnsi" w:cstheme="minorHAnsi"/>
        </w:rPr>
        <w:t xml:space="preserve"> dos autos</w:t>
      </w:r>
      <w:r w:rsidR="00435447" w:rsidRPr="00733700">
        <w:rPr>
          <w:rFonts w:asciiTheme="minorHAnsi" w:hAnsiTheme="minorHAnsi" w:cstheme="minorHAnsi"/>
        </w:rPr>
        <w:t xml:space="preserve"> à Controladoria Geral do Estado </w:t>
      </w:r>
      <w:r w:rsidRPr="00733700">
        <w:rPr>
          <w:rFonts w:asciiTheme="minorHAnsi" w:hAnsiTheme="minorHAnsi" w:cstheme="minorHAnsi"/>
        </w:rPr>
        <w:t>para manifestação prévia, com amparo no art. 3º, incisos II, III e VII do Decreto nº 50.817/2016</w:t>
      </w:r>
      <w:r w:rsidR="002E54E3" w:rsidRPr="00733700">
        <w:rPr>
          <w:rFonts w:asciiTheme="minorHAnsi" w:hAnsiTheme="minorHAnsi" w:cstheme="minorHAnsi"/>
        </w:rPr>
        <w:t xml:space="preserve"> (fl. 1.718)</w:t>
      </w:r>
      <w:r w:rsidRPr="00733700">
        <w:rPr>
          <w:rFonts w:asciiTheme="minorHAnsi" w:hAnsiTheme="minorHAnsi" w:cstheme="minorHAnsi"/>
        </w:rPr>
        <w:t>.</w:t>
      </w:r>
    </w:p>
    <w:p w:rsidR="00E602C2" w:rsidRPr="00733700" w:rsidRDefault="006669B9" w:rsidP="00733700">
      <w:pPr>
        <w:suppressAutoHyphens/>
        <w:spacing w:after="0" w:line="360" w:lineRule="auto"/>
        <w:ind w:left="1069" w:hanging="360"/>
        <w:jc w:val="both"/>
        <w:rPr>
          <w:rFonts w:asciiTheme="minorHAnsi" w:hAnsiTheme="minorHAnsi" w:cstheme="minorHAnsi"/>
          <w:i/>
        </w:rPr>
      </w:pPr>
      <w:r w:rsidRPr="00733700">
        <w:rPr>
          <w:rFonts w:asciiTheme="minorHAnsi" w:hAnsiTheme="minorHAnsi" w:cstheme="minorHAnsi"/>
          <w:b/>
        </w:rPr>
        <w:t>s</w:t>
      </w:r>
      <w:r w:rsidR="00E602C2" w:rsidRPr="00733700">
        <w:rPr>
          <w:rFonts w:asciiTheme="minorHAnsi" w:hAnsiTheme="minorHAnsi" w:cstheme="minorHAnsi"/>
          <w:b/>
        </w:rPr>
        <w:t>)</w:t>
      </w:r>
      <w:r w:rsidR="00E602C2" w:rsidRPr="00733700">
        <w:rPr>
          <w:rFonts w:asciiTheme="minorHAnsi" w:hAnsiTheme="minorHAnsi" w:cstheme="minorHAnsi"/>
        </w:rPr>
        <w:t xml:space="preserve"> À fl. </w:t>
      </w:r>
      <w:r w:rsidR="004D60CC" w:rsidRPr="00733700">
        <w:rPr>
          <w:rFonts w:asciiTheme="minorHAnsi" w:hAnsiTheme="minorHAnsi" w:cstheme="minorHAnsi"/>
        </w:rPr>
        <w:t>1.71</w:t>
      </w:r>
      <w:r w:rsidR="005C2C96" w:rsidRPr="00733700">
        <w:rPr>
          <w:rFonts w:asciiTheme="minorHAnsi" w:hAnsiTheme="minorHAnsi" w:cstheme="minorHAnsi"/>
        </w:rPr>
        <w:t>9</w:t>
      </w:r>
      <w:r w:rsidR="00E602C2" w:rsidRPr="00733700">
        <w:rPr>
          <w:rFonts w:asciiTheme="minorHAnsi" w:hAnsiTheme="minorHAnsi" w:cstheme="minorHAnsi"/>
        </w:rPr>
        <w:t xml:space="preserve"> consta despacho s/nº, emitido pela Chefia de Gabinete da CGE/AL, com determinação de análise e </w:t>
      </w:r>
      <w:r w:rsidR="004D60CC" w:rsidRPr="00733700">
        <w:rPr>
          <w:rFonts w:asciiTheme="minorHAnsi" w:hAnsiTheme="minorHAnsi" w:cstheme="minorHAnsi"/>
        </w:rPr>
        <w:t>parecer</w:t>
      </w:r>
      <w:r w:rsidR="00E602C2" w:rsidRPr="00733700">
        <w:rPr>
          <w:rFonts w:asciiTheme="minorHAnsi" w:hAnsiTheme="minorHAnsi" w:cstheme="minorHAnsi"/>
        </w:rPr>
        <w:t xml:space="preserve"> técnic</w:t>
      </w:r>
      <w:r w:rsidR="004D60CC" w:rsidRPr="00733700">
        <w:rPr>
          <w:rFonts w:asciiTheme="minorHAnsi" w:hAnsiTheme="minorHAnsi" w:cstheme="minorHAnsi"/>
        </w:rPr>
        <w:t>o</w:t>
      </w:r>
      <w:r w:rsidR="00E602C2" w:rsidRPr="00733700">
        <w:rPr>
          <w:rFonts w:asciiTheme="minorHAnsi" w:hAnsiTheme="minorHAnsi" w:cstheme="minorHAnsi"/>
        </w:rPr>
        <w:t>.</w:t>
      </w:r>
    </w:p>
    <w:p w:rsidR="00CA37FD" w:rsidRPr="00733700" w:rsidRDefault="00CA37FD" w:rsidP="00733700">
      <w:pPr>
        <w:spacing w:after="0" w:line="360" w:lineRule="auto"/>
        <w:ind w:firstLine="709"/>
        <w:jc w:val="both"/>
        <w:rPr>
          <w:rFonts w:asciiTheme="minorHAnsi" w:hAnsiTheme="minorHAnsi" w:cstheme="minorHAnsi"/>
          <w:b/>
        </w:rPr>
      </w:pPr>
      <w:r w:rsidRPr="00733700">
        <w:rPr>
          <w:rFonts w:asciiTheme="minorHAnsi" w:hAnsiTheme="minorHAnsi" w:cstheme="minorHAnsi"/>
        </w:rPr>
        <w:t xml:space="preserve">Embora </w:t>
      </w:r>
      <w:r w:rsidR="00722492" w:rsidRPr="00733700">
        <w:rPr>
          <w:rFonts w:asciiTheme="minorHAnsi" w:hAnsiTheme="minorHAnsi" w:cstheme="minorHAnsi"/>
        </w:rPr>
        <w:t xml:space="preserve">a análise por esta CGE deva restringir-se </w:t>
      </w:r>
      <w:r w:rsidR="00722492" w:rsidRPr="00733700">
        <w:rPr>
          <w:rFonts w:asciiTheme="minorHAnsi" w:hAnsiTheme="minorHAnsi" w:cstheme="minorHAnsi"/>
          <w:bCs/>
        </w:rPr>
        <w:t xml:space="preserve">à instrução processual, </w:t>
      </w:r>
      <w:r w:rsidR="00722492" w:rsidRPr="00733700">
        <w:rPr>
          <w:rStyle w:val="Forte"/>
          <w:rFonts w:asciiTheme="minorHAnsi" w:hAnsiTheme="minorHAnsi" w:cstheme="minorHAnsi"/>
          <w:b w:val="0"/>
        </w:rPr>
        <w:t>no que se refere ao cumprimento das fases da despesa pública, explicitado na Lei Federal nº 4.320/64, a</w:t>
      </w:r>
      <w:r w:rsidR="00722492" w:rsidRPr="00733700">
        <w:rPr>
          <w:rFonts w:asciiTheme="minorHAnsi" w:hAnsiTheme="minorHAnsi" w:cstheme="minorHAnsi"/>
        </w:rPr>
        <w:t xml:space="preserve">s circunstâncias que nortearam a </w:t>
      </w:r>
      <w:r w:rsidR="006669B9" w:rsidRPr="00733700">
        <w:rPr>
          <w:rFonts w:asciiTheme="minorHAnsi" w:hAnsiTheme="minorHAnsi" w:cstheme="minorHAnsi"/>
        </w:rPr>
        <w:t xml:space="preserve">contratação </w:t>
      </w:r>
      <w:r w:rsidR="006669B9" w:rsidRPr="00733700">
        <w:rPr>
          <w:rFonts w:asciiTheme="minorHAnsi" w:hAnsiTheme="minorHAnsi" w:cstheme="minorHAnsi"/>
          <w:i/>
        </w:rPr>
        <w:t>in casu</w:t>
      </w:r>
      <w:r w:rsidR="00722492" w:rsidRPr="00733700">
        <w:rPr>
          <w:rFonts w:asciiTheme="minorHAnsi" w:hAnsiTheme="minorHAnsi" w:cstheme="minorHAnsi"/>
        </w:rPr>
        <w:t xml:space="preserve"> exigem cautela quando da análise d</w:t>
      </w:r>
      <w:r w:rsidR="006669B9" w:rsidRPr="00733700">
        <w:rPr>
          <w:rFonts w:asciiTheme="minorHAnsi" w:hAnsiTheme="minorHAnsi" w:cstheme="minorHAnsi"/>
        </w:rPr>
        <w:t>a sua regularidade</w:t>
      </w:r>
      <w:r w:rsidR="00722492" w:rsidRPr="00733700">
        <w:rPr>
          <w:rFonts w:asciiTheme="minorHAnsi" w:hAnsiTheme="minorHAnsi" w:cstheme="minorHAnsi"/>
        </w:rPr>
        <w:t xml:space="preserve">, </w:t>
      </w:r>
      <w:r w:rsidRPr="00733700">
        <w:rPr>
          <w:rFonts w:asciiTheme="minorHAnsi" w:hAnsiTheme="minorHAnsi" w:cstheme="minorHAnsi"/>
        </w:rPr>
        <w:t xml:space="preserve">tendo em vista </w:t>
      </w:r>
      <w:r w:rsidR="007C47A8" w:rsidRPr="00733700">
        <w:rPr>
          <w:rFonts w:asciiTheme="minorHAnsi" w:hAnsiTheme="minorHAnsi" w:cstheme="minorHAnsi"/>
        </w:rPr>
        <w:t xml:space="preserve">a </w:t>
      </w:r>
      <w:r w:rsidR="006669B9" w:rsidRPr="00733700">
        <w:rPr>
          <w:rFonts w:asciiTheme="minorHAnsi" w:hAnsiTheme="minorHAnsi" w:cstheme="minorHAnsi"/>
        </w:rPr>
        <w:t>utilização da via excepcional ao procedimento licitatório, qual seja a dispensa de licitação (Lei nº 8.666/93, art. 24, inciso IV)</w:t>
      </w:r>
      <w:r w:rsidR="00210115" w:rsidRPr="00733700">
        <w:rPr>
          <w:rFonts w:asciiTheme="minorHAnsi" w:hAnsiTheme="minorHAnsi" w:cstheme="minorHAnsi"/>
        </w:rPr>
        <w:t>.</w:t>
      </w:r>
      <w:r w:rsidR="00210115" w:rsidRPr="00733700">
        <w:rPr>
          <w:rFonts w:asciiTheme="minorHAnsi" w:hAnsiTheme="minorHAnsi" w:cstheme="minorHAnsi"/>
          <w:b/>
        </w:rPr>
        <w:t xml:space="preserve"> </w:t>
      </w:r>
      <w:r w:rsidR="00435447" w:rsidRPr="00733700">
        <w:rPr>
          <w:rFonts w:asciiTheme="minorHAnsi" w:hAnsiTheme="minorHAnsi" w:cstheme="minorHAnsi"/>
          <w:b/>
        </w:rPr>
        <w:t xml:space="preserve">Dito isto, urge que o processo </w:t>
      </w:r>
      <w:r w:rsidR="006669B9" w:rsidRPr="00733700">
        <w:rPr>
          <w:rFonts w:asciiTheme="minorHAnsi" w:hAnsiTheme="minorHAnsi" w:cstheme="minorHAnsi"/>
          <w:b/>
        </w:rPr>
        <w:t>regresse</w:t>
      </w:r>
      <w:r w:rsidR="00435447" w:rsidRPr="00733700">
        <w:rPr>
          <w:rFonts w:asciiTheme="minorHAnsi" w:hAnsiTheme="minorHAnsi" w:cstheme="minorHAnsi"/>
          <w:b/>
        </w:rPr>
        <w:t xml:space="preserve"> à Procuradoria Geral do Estado – PGE/AL, </w:t>
      </w:r>
      <w:r w:rsidR="006669B9" w:rsidRPr="00733700">
        <w:rPr>
          <w:rFonts w:asciiTheme="minorHAnsi" w:hAnsiTheme="minorHAnsi" w:cstheme="minorHAnsi"/>
          <w:b/>
        </w:rPr>
        <w:t xml:space="preserve">em momento oportuno, </w:t>
      </w:r>
      <w:r w:rsidR="00435447" w:rsidRPr="00733700">
        <w:rPr>
          <w:rFonts w:asciiTheme="minorHAnsi" w:hAnsiTheme="minorHAnsi" w:cstheme="minorHAnsi"/>
          <w:b/>
        </w:rPr>
        <w:t xml:space="preserve">para </w:t>
      </w:r>
      <w:r w:rsidR="006669B9" w:rsidRPr="00733700">
        <w:rPr>
          <w:rFonts w:asciiTheme="minorHAnsi" w:hAnsiTheme="minorHAnsi" w:cstheme="minorHAnsi"/>
          <w:b/>
        </w:rPr>
        <w:t>pronunciamento acerca d</w:t>
      </w:r>
      <w:r w:rsidR="00435447" w:rsidRPr="00733700">
        <w:rPr>
          <w:rFonts w:asciiTheme="minorHAnsi" w:hAnsiTheme="minorHAnsi" w:cstheme="minorHAnsi"/>
          <w:b/>
        </w:rPr>
        <w:t>os efeitos do processamento da</w:t>
      </w:r>
      <w:r w:rsidR="006669B9" w:rsidRPr="00733700">
        <w:rPr>
          <w:rFonts w:asciiTheme="minorHAnsi" w:hAnsiTheme="minorHAnsi" w:cstheme="minorHAnsi"/>
          <w:b/>
        </w:rPr>
        <w:t>s</w:t>
      </w:r>
      <w:r w:rsidR="00435447" w:rsidRPr="00733700">
        <w:rPr>
          <w:rFonts w:asciiTheme="minorHAnsi" w:hAnsiTheme="minorHAnsi" w:cstheme="minorHAnsi"/>
          <w:b/>
        </w:rPr>
        <w:t xml:space="preserve"> despesa</w:t>
      </w:r>
      <w:r w:rsidR="006669B9" w:rsidRPr="00733700">
        <w:rPr>
          <w:rFonts w:asciiTheme="minorHAnsi" w:hAnsiTheme="minorHAnsi" w:cstheme="minorHAnsi"/>
          <w:b/>
        </w:rPr>
        <w:t>s</w:t>
      </w:r>
      <w:r w:rsidR="00435447" w:rsidRPr="00733700">
        <w:rPr>
          <w:rFonts w:asciiTheme="minorHAnsi" w:hAnsiTheme="minorHAnsi" w:cstheme="minorHAnsi"/>
          <w:b/>
        </w:rPr>
        <w:t xml:space="preserve"> pública</w:t>
      </w:r>
      <w:r w:rsidR="006669B9" w:rsidRPr="00733700">
        <w:rPr>
          <w:rFonts w:asciiTheme="minorHAnsi" w:hAnsiTheme="minorHAnsi" w:cstheme="minorHAnsi"/>
          <w:b/>
        </w:rPr>
        <w:t>s</w:t>
      </w:r>
      <w:r w:rsidR="00435447" w:rsidRPr="00733700">
        <w:rPr>
          <w:rFonts w:asciiTheme="minorHAnsi" w:hAnsiTheme="minorHAnsi" w:cstheme="minorHAnsi"/>
          <w:b/>
        </w:rPr>
        <w:t xml:space="preserve"> </w:t>
      </w:r>
      <w:r w:rsidR="006669B9" w:rsidRPr="00733700">
        <w:rPr>
          <w:rFonts w:asciiTheme="minorHAnsi" w:hAnsiTheme="minorHAnsi" w:cstheme="minorHAnsi"/>
          <w:b/>
        </w:rPr>
        <w:t>em tela sem a devida observância do dever de licitar</w:t>
      </w:r>
      <w:r w:rsidR="00435447" w:rsidRPr="00733700">
        <w:rPr>
          <w:rFonts w:asciiTheme="minorHAnsi" w:hAnsiTheme="minorHAnsi" w:cstheme="minorHAnsi"/>
          <w:b/>
        </w:rPr>
        <w:t xml:space="preserve">.  </w:t>
      </w:r>
    </w:p>
    <w:p w:rsidR="00A811DA" w:rsidRPr="00733700" w:rsidRDefault="009F129C" w:rsidP="00733700">
      <w:pPr>
        <w:pStyle w:val="PargrafodaLista"/>
        <w:spacing w:before="0" w:after="0" w:line="360" w:lineRule="auto"/>
        <w:ind w:left="0" w:firstLine="709"/>
        <w:rPr>
          <w:rFonts w:asciiTheme="minorHAnsi" w:hAnsiTheme="minorHAnsi" w:cstheme="minorHAnsi"/>
          <w:bCs/>
        </w:rPr>
      </w:pPr>
      <w:r w:rsidRPr="00733700">
        <w:rPr>
          <w:rFonts w:asciiTheme="minorHAnsi" w:hAnsiTheme="minorHAnsi" w:cstheme="minorHAnsi"/>
        </w:rPr>
        <w:t>Ademais</w:t>
      </w:r>
      <w:r w:rsidR="00263A2E" w:rsidRPr="00733700">
        <w:rPr>
          <w:rFonts w:asciiTheme="minorHAnsi" w:hAnsiTheme="minorHAnsi" w:cstheme="minorHAnsi"/>
        </w:rPr>
        <w:t>, a presente análise objetiva a verificação do cumprimento dos preceitos legais que regem as contratações públicas, bem como a avaliação dos controles internos dos setores envolvidos a fim de ser verific</w:t>
      </w:r>
      <w:r w:rsidR="00AF223D" w:rsidRPr="00733700">
        <w:rPr>
          <w:rFonts w:asciiTheme="minorHAnsi" w:hAnsiTheme="minorHAnsi" w:cstheme="minorHAnsi"/>
        </w:rPr>
        <w:t>ar as impropriedades existentes,</w:t>
      </w:r>
      <w:r w:rsidR="00263A2E" w:rsidRPr="00733700">
        <w:rPr>
          <w:rFonts w:asciiTheme="minorHAnsi" w:hAnsiTheme="minorHAnsi" w:cstheme="minorHAnsi"/>
        </w:rPr>
        <w:t xml:space="preserve"> o que poderia levar a má gestão dos recursos públicos.</w:t>
      </w:r>
      <w:r w:rsidRPr="00733700">
        <w:rPr>
          <w:rFonts w:asciiTheme="minorHAnsi" w:hAnsiTheme="minorHAnsi" w:cstheme="minorHAnsi"/>
        </w:rPr>
        <w:t xml:space="preserve"> </w:t>
      </w:r>
      <w:r w:rsidRPr="00733700">
        <w:rPr>
          <w:rFonts w:asciiTheme="minorHAnsi" w:hAnsiTheme="minorHAnsi" w:cstheme="minorHAnsi"/>
          <w:bCs/>
        </w:rPr>
        <w:t>Dito isto,</w:t>
      </w:r>
      <w:r w:rsidR="00A811DA" w:rsidRPr="00733700">
        <w:rPr>
          <w:rStyle w:val="Forte"/>
          <w:rFonts w:asciiTheme="minorHAnsi" w:hAnsiTheme="minorHAnsi" w:cstheme="minorHAnsi"/>
          <w:b w:val="0"/>
        </w:rPr>
        <w:t xml:space="preserve"> d</w:t>
      </w:r>
      <w:r w:rsidR="00A811DA" w:rsidRPr="00733700">
        <w:rPr>
          <w:rFonts w:asciiTheme="minorHAnsi" w:hAnsiTheme="minorHAnsi" w:cstheme="minorHAnsi"/>
          <w:bCs/>
        </w:rPr>
        <w:t>escreve-se a seguir o resultado do exame efetuado no referido processo:</w:t>
      </w:r>
    </w:p>
    <w:p w:rsidR="001222BE" w:rsidRPr="00733700" w:rsidRDefault="00722492" w:rsidP="00733700">
      <w:pPr>
        <w:pStyle w:val="SemEspaamento"/>
        <w:spacing w:line="360" w:lineRule="auto"/>
        <w:ind w:firstLine="708"/>
        <w:jc w:val="both"/>
        <w:rPr>
          <w:rFonts w:asciiTheme="minorHAnsi" w:hAnsiTheme="minorHAnsi" w:cstheme="minorHAnsi"/>
        </w:rPr>
      </w:pPr>
      <w:r w:rsidRPr="00733700">
        <w:rPr>
          <w:rFonts w:asciiTheme="minorHAnsi" w:hAnsiTheme="minorHAnsi" w:cstheme="minorHAnsi"/>
          <w:b/>
        </w:rPr>
        <w:lastRenderedPageBreak/>
        <w:t xml:space="preserve">I. </w:t>
      </w:r>
      <w:r w:rsidR="009F129C" w:rsidRPr="00733700">
        <w:rPr>
          <w:rFonts w:asciiTheme="minorHAnsi" w:hAnsiTheme="minorHAnsi" w:cstheme="minorHAnsi"/>
          <w:b/>
        </w:rPr>
        <w:t>PESQUISA DE MERCADO</w:t>
      </w:r>
      <w:r w:rsidR="00A811DA" w:rsidRPr="00733700">
        <w:rPr>
          <w:rFonts w:asciiTheme="minorHAnsi" w:hAnsiTheme="minorHAnsi" w:cstheme="minorHAnsi"/>
        </w:rPr>
        <w:t xml:space="preserve"> </w:t>
      </w:r>
      <w:r w:rsidR="009F129C" w:rsidRPr="00733700">
        <w:rPr>
          <w:rFonts w:asciiTheme="minorHAnsi" w:hAnsiTheme="minorHAnsi" w:cstheme="minorHAnsi"/>
        </w:rPr>
        <w:t>–</w:t>
      </w:r>
      <w:r w:rsidR="00A811DA" w:rsidRPr="00733700">
        <w:rPr>
          <w:rFonts w:asciiTheme="minorHAnsi" w:hAnsiTheme="minorHAnsi" w:cstheme="minorHAnsi"/>
        </w:rPr>
        <w:t xml:space="preserve"> </w:t>
      </w:r>
      <w:r w:rsidR="009F129C" w:rsidRPr="00733700">
        <w:rPr>
          <w:rFonts w:asciiTheme="minorHAnsi" w:hAnsiTheme="minorHAnsi" w:cstheme="minorHAnsi"/>
        </w:rPr>
        <w:t xml:space="preserve">Segundo Despacho s/nº, da lavra do Gestor do Serviço de Cotação/UNCISAL (fl. 235), a pesquisa de mercado foi realizada nos termos da Instrução Normativa AMGESP nº 001/2016. </w:t>
      </w:r>
      <w:r w:rsidR="001222BE" w:rsidRPr="00733700">
        <w:rPr>
          <w:rFonts w:asciiTheme="minorHAnsi" w:hAnsiTheme="minorHAnsi" w:cstheme="minorHAnsi"/>
        </w:rPr>
        <w:t>Alerte-se para o que dispõe o art. 2º:</w:t>
      </w:r>
    </w:p>
    <w:p w:rsidR="001222BE" w:rsidRPr="00670EE6" w:rsidRDefault="001222BE" w:rsidP="00733700">
      <w:pPr>
        <w:spacing w:after="0" w:line="360" w:lineRule="auto"/>
        <w:ind w:left="2835"/>
        <w:jc w:val="both"/>
        <w:rPr>
          <w:rFonts w:asciiTheme="minorHAnsi" w:hAnsiTheme="minorHAnsi" w:cstheme="minorHAnsi"/>
          <w:sz w:val="18"/>
          <w:szCs w:val="18"/>
        </w:rPr>
      </w:pPr>
      <w:r w:rsidRPr="00670EE6">
        <w:rPr>
          <w:rFonts w:asciiTheme="minorHAnsi" w:hAnsiTheme="minorHAnsi" w:cstheme="minorHAnsi"/>
          <w:sz w:val="18"/>
          <w:szCs w:val="18"/>
        </w:rPr>
        <w:t xml:space="preserve">Art. 2º A pesquisa de preços será realizada mediante a utilização de um dos seguintes parâmetros: </w:t>
      </w:r>
    </w:p>
    <w:p w:rsidR="001222BE" w:rsidRPr="00670EE6" w:rsidRDefault="001222BE" w:rsidP="00733700">
      <w:pPr>
        <w:spacing w:after="0" w:line="360" w:lineRule="auto"/>
        <w:ind w:left="2835"/>
        <w:jc w:val="both"/>
        <w:rPr>
          <w:rFonts w:asciiTheme="minorHAnsi" w:hAnsiTheme="minorHAnsi" w:cstheme="minorHAnsi"/>
          <w:sz w:val="18"/>
          <w:szCs w:val="18"/>
          <w:u w:val="single"/>
        </w:rPr>
      </w:pPr>
      <w:r w:rsidRPr="00670EE6">
        <w:rPr>
          <w:rFonts w:asciiTheme="minorHAnsi" w:hAnsiTheme="minorHAnsi" w:cstheme="minorHAnsi"/>
          <w:sz w:val="18"/>
          <w:szCs w:val="18"/>
        </w:rPr>
        <w:t xml:space="preserve">I-Portal de Compras Governamentais – </w:t>
      </w:r>
      <w:hyperlink r:id="rId9" w:history="1">
        <w:r w:rsidRPr="00670EE6">
          <w:rPr>
            <w:rStyle w:val="Hyperlink"/>
            <w:rFonts w:asciiTheme="minorHAnsi" w:hAnsiTheme="minorHAnsi" w:cstheme="minorHAnsi"/>
            <w:sz w:val="18"/>
            <w:szCs w:val="18"/>
          </w:rPr>
          <w:t>http://www.comprasgovernamentais.gov.br/</w:t>
        </w:r>
      </w:hyperlink>
      <w:r w:rsidRPr="00670EE6">
        <w:rPr>
          <w:rFonts w:asciiTheme="minorHAnsi" w:hAnsiTheme="minorHAnsi" w:cstheme="minorHAnsi"/>
          <w:sz w:val="18"/>
          <w:szCs w:val="18"/>
          <w:u w:val="single"/>
        </w:rPr>
        <w:t>;</w:t>
      </w:r>
    </w:p>
    <w:p w:rsidR="001222BE" w:rsidRPr="00670EE6" w:rsidRDefault="001222BE" w:rsidP="00733700">
      <w:pPr>
        <w:spacing w:after="0" w:line="360" w:lineRule="auto"/>
        <w:ind w:left="2835"/>
        <w:jc w:val="both"/>
        <w:rPr>
          <w:rFonts w:asciiTheme="minorHAnsi" w:hAnsiTheme="minorHAnsi" w:cstheme="minorHAnsi"/>
          <w:sz w:val="18"/>
          <w:szCs w:val="18"/>
        </w:rPr>
      </w:pPr>
      <w:r w:rsidRPr="00670EE6">
        <w:rPr>
          <w:rFonts w:asciiTheme="minorHAnsi" w:hAnsiTheme="minorHAnsi" w:cstheme="minorHAnsi"/>
          <w:sz w:val="18"/>
          <w:szCs w:val="18"/>
        </w:rPr>
        <w:t>II – contratações similares de outros entes públicos, em execução ou concluídos nos 180 (cento e oitenta) dias anteriores à data da pesquisa de preços;</w:t>
      </w:r>
    </w:p>
    <w:p w:rsidR="001222BE" w:rsidRPr="00670EE6" w:rsidRDefault="001222BE" w:rsidP="00733700">
      <w:pPr>
        <w:spacing w:after="0" w:line="360" w:lineRule="auto"/>
        <w:ind w:left="2835"/>
        <w:jc w:val="both"/>
        <w:rPr>
          <w:rFonts w:asciiTheme="minorHAnsi" w:hAnsiTheme="minorHAnsi" w:cstheme="minorHAnsi"/>
          <w:b/>
          <w:sz w:val="18"/>
          <w:szCs w:val="18"/>
        </w:rPr>
      </w:pPr>
      <w:r w:rsidRPr="00670EE6">
        <w:rPr>
          <w:rFonts w:asciiTheme="minorHAnsi" w:hAnsiTheme="minorHAnsi" w:cstheme="minorHAnsi"/>
          <w:b/>
          <w:sz w:val="18"/>
          <w:szCs w:val="18"/>
        </w:rPr>
        <w:t>§ 1º O resultado da pesquisa de preços será a média simples ou média com dispersão, justificando-se a utilização do método escolhido.</w:t>
      </w:r>
    </w:p>
    <w:p w:rsidR="001222BE" w:rsidRPr="00670EE6" w:rsidRDefault="001222BE" w:rsidP="00733700">
      <w:pPr>
        <w:spacing w:after="0" w:line="360" w:lineRule="auto"/>
        <w:ind w:left="2835"/>
        <w:jc w:val="both"/>
        <w:rPr>
          <w:rFonts w:asciiTheme="minorHAnsi" w:hAnsiTheme="minorHAnsi" w:cstheme="minorHAnsi"/>
          <w:sz w:val="18"/>
          <w:szCs w:val="18"/>
        </w:rPr>
      </w:pPr>
      <w:r w:rsidRPr="00670EE6">
        <w:rPr>
          <w:rFonts w:asciiTheme="minorHAnsi" w:hAnsiTheme="minorHAnsi" w:cstheme="minorHAnsi"/>
          <w:sz w:val="18"/>
          <w:szCs w:val="18"/>
        </w:rPr>
        <w:t xml:space="preserve">§ 2º A média será obtida utilizando o mínimo de três fontes de pesquisa, na hipótese de média simples, e cinco no caso de média com dispersão. </w:t>
      </w:r>
    </w:p>
    <w:p w:rsidR="001222BE" w:rsidRPr="00670EE6" w:rsidRDefault="001222BE" w:rsidP="00733700">
      <w:pPr>
        <w:spacing w:after="0" w:line="360" w:lineRule="auto"/>
        <w:ind w:left="2835"/>
        <w:jc w:val="both"/>
        <w:rPr>
          <w:rFonts w:asciiTheme="minorHAnsi" w:hAnsiTheme="minorHAnsi" w:cstheme="minorHAnsi"/>
          <w:sz w:val="18"/>
          <w:szCs w:val="18"/>
        </w:rPr>
      </w:pPr>
      <w:r w:rsidRPr="00670EE6">
        <w:rPr>
          <w:rFonts w:asciiTheme="minorHAnsi" w:hAnsiTheme="minorHAnsi" w:cstheme="minorHAnsi"/>
          <w:sz w:val="18"/>
          <w:szCs w:val="18"/>
        </w:rPr>
        <w:t>§ 3º Será admitido um único preço, desde que esgotadas todas</w:t>
      </w:r>
      <w:r w:rsidR="00670EE6">
        <w:rPr>
          <w:rFonts w:asciiTheme="minorHAnsi" w:hAnsiTheme="minorHAnsi" w:cstheme="minorHAnsi"/>
          <w:sz w:val="18"/>
          <w:szCs w:val="18"/>
        </w:rPr>
        <w:t xml:space="preserve"> as possibilidades de pesquisa.</w:t>
      </w:r>
      <w:r w:rsidR="003A4276" w:rsidRPr="00670EE6">
        <w:rPr>
          <w:rFonts w:asciiTheme="minorHAnsi" w:hAnsiTheme="minorHAnsi" w:cstheme="minorHAnsi"/>
          <w:sz w:val="18"/>
          <w:szCs w:val="18"/>
        </w:rPr>
        <w:t xml:space="preserve"> </w:t>
      </w:r>
      <w:r w:rsidRPr="00670EE6">
        <w:rPr>
          <w:rFonts w:asciiTheme="minorHAnsi" w:hAnsiTheme="minorHAnsi" w:cstheme="minorHAnsi"/>
          <w:sz w:val="18"/>
          <w:szCs w:val="18"/>
        </w:rPr>
        <w:t>(Sem grifos no original)</w:t>
      </w:r>
    </w:p>
    <w:p w:rsidR="001222BE" w:rsidRPr="00733700" w:rsidRDefault="001222BE" w:rsidP="00733700">
      <w:pPr>
        <w:pStyle w:val="SemEspaamento"/>
        <w:spacing w:line="360" w:lineRule="auto"/>
        <w:ind w:firstLine="708"/>
        <w:jc w:val="both"/>
        <w:rPr>
          <w:rFonts w:asciiTheme="minorHAnsi" w:hAnsiTheme="minorHAnsi" w:cstheme="minorHAnsi"/>
        </w:rPr>
      </w:pPr>
      <w:r w:rsidRPr="00733700">
        <w:rPr>
          <w:rFonts w:asciiTheme="minorHAnsi" w:hAnsiTheme="minorHAnsi" w:cstheme="minorHAnsi"/>
        </w:rPr>
        <w:t>Importa destacar que a pesquisa de mercado será o referencial adotado pela Administração Pública enquanto limite máximo do valor a ser contratado. Nesse ínterim, as incorreções verificadas na fase da pesquisa de mercado irradiam efeitos nos atos processuais subsequentes.</w:t>
      </w:r>
    </w:p>
    <w:p w:rsidR="001222BE" w:rsidRPr="00733700" w:rsidRDefault="001222BE" w:rsidP="00733700">
      <w:pPr>
        <w:pStyle w:val="SemEspaamento"/>
        <w:spacing w:line="360" w:lineRule="auto"/>
        <w:ind w:firstLine="708"/>
        <w:jc w:val="both"/>
        <w:rPr>
          <w:rFonts w:asciiTheme="minorHAnsi" w:hAnsiTheme="minorHAnsi" w:cstheme="minorHAnsi"/>
        </w:rPr>
      </w:pPr>
      <w:r w:rsidRPr="00733700">
        <w:rPr>
          <w:rFonts w:asciiTheme="minorHAnsi" w:hAnsiTheme="minorHAnsi" w:cstheme="minorHAnsi"/>
        </w:rPr>
        <w:t>Revela-se necessário exercer o poder da autotutela na correção dos vícios encontrados no presente processo, a saber:</w:t>
      </w:r>
    </w:p>
    <w:p w:rsidR="001222BE" w:rsidRDefault="00AF4208" w:rsidP="00733700">
      <w:pPr>
        <w:pStyle w:val="SemEspaamento"/>
        <w:numPr>
          <w:ilvl w:val="0"/>
          <w:numId w:val="23"/>
        </w:numPr>
        <w:spacing w:line="360" w:lineRule="auto"/>
        <w:ind w:left="709" w:hanging="1"/>
        <w:jc w:val="both"/>
        <w:rPr>
          <w:rFonts w:asciiTheme="minorHAnsi" w:hAnsiTheme="minorHAnsi" w:cstheme="minorHAnsi"/>
        </w:rPr>
      </w:pPr>
      <w:r w:rsidRPr="00C900C7">
        <w:rPr>
          <w:rFonts w:asciiTheme="minorHAnsi" w:hAnsiTheme="minorHAnsi" w:cstheme="minorHAnsi"/>
          <w:b/>
          <w:u w:val="single"/>
        </w:rPr>
        <w:t>Itens divergentes encontrados no Termo de Referência e na Pesquisa de Mercado</w:t>
      </w:r>
      <w:r w:rsidR="002A7AE5" w:rsidRPr="00C900C7">
        <w:rPr>
          <w:rFonts w:asciiTheme="minorHAnsi" w:hAnsiTheme="minorHAnsi" w:cstheme="minorHAnsi"/>
          <w:b/>
          <w:u w:val="single"/>
        </w:rPr>
        <w:t>.</w:t>
      </w:r>
      <w:r w:rsidRPr="00733700">
        <w:rPr>
          <w:rFonts w:asciiTheme="minorHAnsi" w:hAnsiTheme="minorHAnsi" w:cstheme="minorHAnsi"/>
        </w:rPr>
        <w:t xml:space="preserve"> O</w:t>
      </w:r>
      <w:r w:rsidR="001222BE" w:rsidRPr="00733700">
        <w:rPr>
          <w:rFonts w:asciiTheme="minorHAnsi" w:hAnsiTheme="minorHAnsi" w:cstheme="minorHAnsi"/>
        </w:rPr>
        <w:t xml:space="preserve"> Termo de Referência que subsidiou a pesquisa de mercado (fls. 244/260) apresenta 373 itens, </w:t>
      </w:r>
      <w:r w:rsidRPr="00733700">
        <w:rPr>
          <w:rFonts w:asciiTheme="minorHAnsi" w:hAnsiTheme="minorHAnsi" w:cstheme="minorHAnsi"/>
        </w:rPr>
        <w:t>enquanto o</w:t>
      </w:r>
      <w:r w:rsidR="001222BE" w:rsidRPr="00733700">
        <w:rPr>
          <w:rFonts w:asciiTheme="minorHAnsi" w:hAnsiTheme="minorHAnsi" w:cstheme="minorHAnsi"/>
        </w:rPr>
        <w:t xml:space="preserve"> Mapa de Preços </w:t>
      </w:r>
      <w:r w:rsidRPr="00733700">
        <w:rPr>
          <w:rFonts w:asciiTheme="minorHAnsi" w:hAnsiTheme="minorHAnsi" w:cstheme="minorHAnsi"/>
        </w:rPr>
        <w:t>apresenta 279 itens (fls. 241/230)</w:t>
      </w:r>
      <w:r w:rsidR="001222BE" w:rsidRPr="00733700">
        <w:rPr>
          <w:rFonts w:asciiTheme="minorHAnsi" w:hAnsiTheme="minorHAnsi" w:cstheme="minorHAnsi"/>
        </w:rPr>
        <w:t xml:space="preserve">. </w:t>
      </w:r>
      <w:r w:rsidRPr="00733700">
        <w:rPr>
          <w:rFonts w:asciiTheme="minorHAnsi" w:hAnsiTheme="minorHAnsi" w:cstheme="minorHAnsi"/>
        </w:rPr>
        <w:t>O</w:t>
      </w:r>
      <w:r w:rsidR="001222BE" w:rsidRPr="00733700">
        <w:rPr>
          <w:rFonts w:asciiTheme="minorHAnsi" w:hAnsiTheme="minorHAnsi" w:cstheme="minorHAnsi"/>
        </w:rPr>
        <w:t>bserva-se</w:t>
      </w:r>
      <w:r w:rsidRPr="00733700">
        <w:rPr>
          <w:rFonts w:asciiTheme="minorHAnsi" w:hAnsiTheme="minorHAnsi" w:cstheme="minorHAnsi"/>
        </w:rPr>
        <w:t xml:space="preserve"> </w:t>
      </w:r>
      <w:r w:rsidR="001222BE" w:rsidRPr="00733700">
        <w:rPr>
          <w:rFonts w:asciiTheme="minorHAnsi" w:hAnsiTheme="minorHAnsi" w:cstheme="minorHAnsi"/>
        </w:rPr>
        <w:t xml:space="preserve">que </w:t>
      </w:r>
      <w:r w:rsidRPr="00733700">
        <w:rPr>
          <w:rFonts w:asciiTheme="minorHAnsi" w:hAnsiTheme="minorHAnsi" w:cstheme="minorHAnsi"/>
        </w:rPr>
        <w:t>o TR foi refeito, conforme adverte despacho de fl.</w:t>
      </w:r>
      <w:r w:rsidR="00C900C7">
        <w:rPr>
          <w:rFonts w:asciiTheme="minorHAnsi" w:hAnsiTheme="minorHAnsi" w:cstheme="minorHAnsi"/>
        </w:rPr>
        <w:t xml:space="preserve"> </w:t>
      </w:r>
      <w:r w:rsidRPr="00733700">
        <w:rPr>
          <w:rFonts w:asciiTheme="minorHAnsi" w:hAnsiTheme="minorHAnsi" w:cstheme="minorHAnsi"/>
        </w:rPr>
        <w:t xml:space="preserve">243, entretanto, a pesquisa de mercado permaneceu inalterada. </w:t>
      </w:r>
      <w:r w:rsidR="002E54E3" w:rsidRPr="00733700">
        <w:rPr>
          <w:rFonts w:asciiTheme="minorHAnsi" w:hAnsiTheme="minorHAnsi" w:cstheme="minorHAnsi"/>
        </w:rPr>
        <w:t xml:space="preserve">Em consequência do exposto, os itens contidos no TR atualizado não correspondem aos itens constantes no Mapa de Preços. </w:t>
      </w:r>
      <w:r w:rsidR="002A7AE5" w:rsidRPr="00733700">
        <w:rPr>
          <w:rFonts w:asciiTheme="minorHAnsi" w:hAnsiTheme="minorHAnsi" w:cstheme="minorHAnsi"/>
        </w:rPr>
        <w:t xml:space="preserve">Como </w:t>
      </w:r>
      <w:r w:rsidRPr="00733700">
        <w:rPr>
          <w:rFonts w:asciiTheme="minorHAnsi" w:hAnsiTheme="minorHAnsi" w:cstheme="minorHAnsi"/>
        </w:rPr>
        <w:t>exemplo</w:t>
      </w:r>
      <w:r w:rsidR="002E54E3" w:rsidRPr="00733700">
        <w:rPr>
          <w:rFonts w:asciiTheme="minorHAnsi" w:hAnsiTheme="minorHAnsi" w:cstheme="minorHAnsi"/>
        </w:rPr>
        <w:t>,</w:t>
      </w:r>
      <w:r w:rsidRPr="00733700">
        <w:rPr>
          <w:rFonts w:asciiTheme="minorHAnsi" w:hAnsiTheme="minorHAnsi" w:cstheme="minorHAnsi"/>
        </w:rPr>
        <w:t xml:space="preserve"> </w:t>
      </w:r>
      <w:r w:rsidR="002A7AE5" w:rsidRPr="00733700">
        <w:rPr>
          <w:rFonts w:asciiTheme="minorHAnsi" w:hAnsiTheme="minorHAnsi" w:cstheme="minorHAnsi"/>
        </w:rPr>
        <w:t>destaquem</w:t>
      </w:r>
      <w:r w:rsidRPr="00733700">
        <w:rPr>
          <w:rFonts w:asciiTheme="minorHAnsi" w:hAnsiTheme="minorHAnsi" w:cstheme="minorHAnsi"/>
        </w:rPr>
        <w:t xml:space="preserve">-se os itens </w:t>
      </w:r>
      <w:r w:rsidR="003A4276" w:rsidRPr="00733700">
        <w:rPr>
          <w:rFonts w:asciiTheme="minorHAnsi" w:hAnsiTheme="minorHAnsi" w:cstheme="minorHAnsi"/>
          <w:b/>
          <w:u w:val="single"/>
        </w:rPr>
        <w:t>11</w:t>
      </w:r>
      <w:r w:rsidR="003A4276" w:rsidRPr="00733700">
        <w:rPr>
          <w:rFonts w:asciiTheme="minorHAnsi" w:hAnsiTheme="minorHAnsi" w:cstheme="minorHAnsi"/>
        </w:rPr>
        <w:t xml:space="preserve"> e </w:t>
      </w:r>
      <w:r w:rsidR="003A4276" w:rsidRPr="00733700">
        <w:rPr>
          <w:rFonts w:asciiTheme="minorHAnsi" w:hAnsiTheme="minorHAnsi" w:cstheme="minorHAnsi"/>
          <w:b/>
          <w:u w:val="single"/>
        </w:rPr>
        <w:t>12</w:t>
      </w:r>
      <w:r w:rsidR="00C900C7">
        <w:rPr>
          <w:rFonts w:asciiTheme="minorHAnsi" w:hAnsiTheme="minorHAnsi" w:cstheme="minorHAnsi"/>
          <w:b/>
          <w:u w:val="single"/>
        </w:rPr>
        <w:t>,</w:t>
      </w:r>
      <w:r w:rsidR="00C900C7" w:rsidRPr="00C900C7">
        <w:rPr>
          <w:rFonts w:asciiTheme="minorHAnsi" w:hAnsiTheme="minorHAnsi" w:cstheme="minorHAnsi"/>
        </w:rPr>
        <w:t xml:space="preserve"> coforme Tabela 01 a seguir</w:t>
      </w:r>
      <w:r w:rsidRPr="00733700">
        <w:rPr>
          <w:rFonts w:asciiTheme="minorHAnsi" w:hAnsiTheme="minorHAnsi" w:cstheme="minorHAnsi"/>
        </w:rPr>
        <w:t>:</w:t>
      </w:r>
    </w:p>
    <w:p w:rsidR="00DA353B" w:rsidRDefault="00DA353B" w:rsidP="00DA353B">
      <w:pPr>
        <w:pStyle w:val="SemEspaamento"/>
        <w:spacing w:line="360" w:lineRule="auto"/>
        <w:rPr>
          <w:rFonts w:asciiTheme="minorHAnsi" w:hAnsiTheme="minorHAnsi" w:cstheme="minorHAnsi"/>
        </w:rPr>
      </w:pPr>
    </w:p>
    <w:p w:rsidR="00C900C7" w:rsidRPr="00C900C7" w:rsidRDefault="00C900C7" w:rsidP="00DA353B">
      <w:pPr>
        <w:pStyle w:val="SemEspaamento"/>
        <w:spacing w:line="360" w:lineRule="auto"/>
        <w:jc w:val="center"/>
        <w:rPr>
          <w:rFonts w:asciiTheme="minorHAnsi" w:hAnsiTheme="minorHAnsi" w:cstheme="minorHAnsi"/>
          <w:b/>
        </w:rPr>
      </w:pPr>
      <w:r w:rsidRPr="00C900C7">
        <w:rPr>
          <w:rFonts w:asciiTheme="minorHAnsi" w:hAnsiTheme="minorHAnsi" w:cstheme="minorHAnsi"/>
          <w:b/>
        </w:rPr>
        <w:t>TABELA 01 – INFORMAÇÃO CONTIDA NO TR X INFORMAÇÃO CONTINA NO MAPA</w:t>
      </w:r>
    </w:p>
    <w:tbl>
      <w:tblPr>
        <w:tblStyle w:val="Tabelacomgrade"/>
        <w:tblW w:w="0" w:type="auto"/>
        <w:jc w:val="right"/>
        <w:tblInd w:w="817" w:type="dxa"/>
        <w:tblLook w:val="04A0"/>
      </w:tblPr>
      <w:tblGrid>
        <w:gridCol w:w="4360"/>
        <w:gridCol w:w="4110"/>
      </w:tblGrid>
      <w:tr w:rsidR="00AF4208" w:rsidRPr="00733700" w:rsidTr="00DA353B">
        <w:trPr>
          <w:jc w:val="right"/>
        </w:trPr>
        <w:tc>
          <w:tcPr>
            <w:tcW w:w="4360" w:type="dxa"/>
            <w:shd w:val="clear" w:color="auto" w:fill="BFBFBF" w:themeFill="background1" w:themeFillShade="BF"/>
            <w:vAlign w:val="center"/>
          </w:tcPr>
          <w:p w:rsidR="00AF4208" w:rsidRPr="00670EE6" w:rsidRDefault="003A4276" w:rsidP="00670EE6">
            <w:pPr>
              <w:pStyle w:val="SemEspaamento"/>
              <w:jc w:val="center"/>
              <w:rPr>
                <w:rFonts w:asciiTheme="minorHAnsi" w:hAnsiTheme="minorHAnsi" w:cstheme="minorHAnsi"/>
                <w:b/>
                <w:sz w:val="20"/>
                <w:szCs w:val="20"/>
              </w:rPr>
            </w:pPr>
            <w:r w:rsidRPr="00670EE6">
              <w:rPr>
                <w:rFonts w:asciiTheme="minorHAnsi" w:hAnsiTheme="minorHAnsi" w:cstheme="minorHAnsi"/>
                <w:b/>
                <w:sz w:val="20"/>
                <w:szCs w:val="20"/>
              </w:rPr>
              <w:t>Informação contida no TR (fls. 244/260)</w:t>
            </w:r>
          </w:p>
        </w:tc>
        <w:tc>
          <w:tcPr>
            <w:tcW w:w="4110" w:type="dxa"/>
            <w:shd w:val="clear" w:color="auto" w:fill="BFBFBF" w:themeFill="background1" w:themeFillShade="BF"/>
            <w:vAlign w:val="center"/>
          </w:tcPr>
          <w:p w:rsidR="00AF4208" w:rsidRPr="00670EE6" w:rsidRDefault="003A4276" w:rsidP="00670EE6">
            <w:pPr>
              <w:pStyle w:val="SemEspaamento"/>
              <w:jc w:val="center"/>
              <w:rPr>
                <w:rFonts w:asciiTheme="minorHAnsi" w:hAnsiTheme="minorHAnsi" w:cstheme="minorHAnsi"/>
                <w:b/>
                <w:sz w:val="20"/>
                <w:szCs w:val="20"/>
              </w:rPr>
            </w:pPr>
            <w:r w:rsidRPr="00670EE6">
              <w:rPr>
                <w:rFonts w:asciiTheme="minorHAnsi" w:hAnsiTheme="minorHAnsi" w:cstheme="minorHAnsi"/>
                <w:b/>
                <w:sz w:val="20"/>
                <w:szCs w:val="20"/>
              </w:rPr>
              <w:t>Informação contida no Mapa (fls. 214/230)</w:t>
            </w:r>
          </w:p>
        </w:tc>
      </w:tr>
      <w:tr w:rsidR="00AF4208" w:rsidRPr="00733700" w:rsidTr="00DA353B">
        <w:trPr>
          <w:jc w:val="right"/>
        </w:trPr>
        <w:tc>
          <w:tcPr>
            <w:tcW w:w="4360" w:type="dxa"/>
            <w:vAlign w:val="center"/>
          </w:tcPr>
          <w:p w:rsidR="00AF4208" w:rsidRPr="00670EE6" w:rsidRDefault="003A4276"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 xml:space="preserve">Item 11. Ácido Ascórbico, Solução injetável, 100mg/ml, ampola com </w:t>
            </w:r>
            <w:proofErr w:type="gramStart"/>
            <w:r w:rsidRPr="00670EE6">
              <w:rPr>
                <w:rFonts w:asciiTheme="minorHAnsi" w:hAnsiTheme="minorHAnsi" w:cstheme="minorHAnsi"/>
                <w:sz w:val="20"/>
                <w:szCs w:val="20"/>
              </w:rPr>
              <w:t>5ml</w:t>
            </w:r>
            <w:proofErr w:type="gramEnd"/>
            <w:r w:rsidRPr="00670EE6">
              <w:rPr>
                <w:rFonts w:asciiTheme="minorHAnsi" w:hAnsiTheme="minorHAnsi" w:cstheme="minorHAnsi"/>
                <w:sz w:val="20"/>
                <w:szCs w:val="20"/>
              </w:rPr>
              <w:t>. Quantidade: 3.200</w:t>
            </w:r>
          </w:p>
        </w:tc>
        <w:tc>
          <w:tcPr>
            <w:tcW w:w="4110" w:type="dxa"/>
            <w:vAlign w:val="center"/>
          </w:tcPr>
          <w:p w:rsidR="00AF4208" w:rsidRPr="00670EE6" w:rsidRDefault="003A4276"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 xml:space="preserve">Item 11. Ácido Folínico 3mg, ampola com </w:t>
            </w:r>
            <w:proofErr w:type="gramStart"/>
            <w:r w:rsidRPr="00670EE6">
              <w:rPr>
                <w:rFonts w:asciiTheme="minorHAnsi" w:hAnsiTheme="minorHAnsi" w:cstheme="minorHAnsi"/>
                <w:sz w:val="20"/>
                <w:szCs w:val="20"/>
              </w:rPr>
              <w:t>1ml</w:t>
            </w:r>
            <w:proofErr w:type="gramEnd"/>
            <w:r w:rsidRPr="00670EE6">
              <w:rPr>
                <w:rFonts w:asciiTheme="minorHAnsi" w:hAnsiTheme="minorHAnsi" w:cstheme="minorHAnsi"/>
                <w:sz w:val="20"/>
                <w:szCs w:val="20"/>
              </w:rPr>
              <w:t>. Quantidade: 240</w:t>
            </w:r>
          </w:p>
        </w:tc>
      </w:tr>
      <w:tr w:rsidR="003A4276" w:rsidRPr="00733700" w:rsidTr="00DA353B">
        <w:trPr>
          <w:jc w:val="right"/>
        </w:trPr>
        <w:tc>
          <w:tcPr>
            <w:tcW w:w="4360" w:type="dxa"/>
            <w:vAlign w:val="center"/>
          </w:tcPr>
          <w:p w:rsidR="003A4276" w:rsidRPr="00670EE6" w:rsidRDefault="003A4276"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Item 12. Ácido fólico, 5mg, comprimido. Quantidade: 3.300</w:t>
            </w:r>
          </w:p>
        </w:tc>
        <w:tc>
          <w:tcPr>
            <w:tcW w:w="4110" w:type="dxa"/>
            <w:vAlign w:val="center"/>
          </w:tcPr>
          <w:p w:rsidR="003A4276" w:rsidRPr="00670EE6" w:rsidRDefault="003A4276"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Item 12. Ácido ursodesoxicólico, 50mg, comprimido. Quantidade: 168</w:t>
            </w:r>
          </w:p>
        </w:tc>
      </w:tr>
      <w:tr w:rsidR="00670EE6" w:rsidRPr="00733700" w:rsidTr="00DA353B">
        <w:trPr>
          <w:jc w:val="right"/>
        </w:trPr>
        <w:tc>
          <w:tcPr>
            <w:tcW w:w="4360" w:type="dxa"/>
            <w:shd w:val="clear" w:color="auto" w:fill="BFBFBF" w:themeFill="background1" w:themeFillShade="BF"/>
            <w:vAlign w:val="center"/>
          </w:tcPr>
          <w:p w:rsidR="00670EE6" w:rsidRPr="00670EE6" w:rsidRDefault="00670EE6" w:rsidP="00670EE6">
            <w:pPr>
              <w:pStyle w:val="SemEspaamento"/>
              <w:jc w:val="center"/>
              <w:rPr>
                <w:rFonts w:asciiTheme="minorHAnsi" w:hAnsiTheme="minorHAnsi" w:cstheme="minorHAnsi"/>
                <w:sz w:val="20"/>
                <w:szCs w:val="20"/>
              </w:rPr>
            </w:pPr>
          </w:p>
        </w:tc>
        <w:tc>
          <w:tcPr>
            <w:tcW w:w="4110" w:type="dxa"/>
            <w:shd w:val="clear" w:color="auto" w:fill="BFBFBF" w:themeFill="background1" w:themeFillShade="BF"/>
            <w:vAlign w:val="center"/>
          </w:tcPr>
          <w:p w:rsidR="00670EE6" w:rsidRPr="00670EE6" w:rsidRDefault="00670EE6" w:rsidP="00670EE6">
            <w:pPr>
              <w:pStyle w:val="SemEspaamento"/>
              <w:jc w:val="center"/>
              <w:rPr>
                <w:rFonts w:asciiTheme="minorHAnsi" w:hAnsiTheme="minorHAnsi" w:cstheme="minorHAnsi"/>
                <w:sz w:val="20"/>
                <w:szCs w:val="20"/>
              </w:rPr>
            </w:pPr>
          </w:p>
        </w:tc>
      </w:tr>
    </w:tbl>
    <w:p w:rsidR="00AF4208" w:rsidRDefault="00AF4208" w:rsidP="00733700">
      <w:pPr>
        <w:pStyle w:val="SemEspaamento"/>
        <w:spacing w:line="360" w:lineRule="auto"/>
        <w:ind w:left="1068"/>
        <w:jc w:val="both"/>
        <w:rPr>
          <w:rFonts w:asciiTheme="minorHAnsi" w:hAnsiTheme="minorHAnsi" w:cstheme="minorHAnsi"/>
        </w:rPr>
      </w:pPr>
    </w:p>
    <w:p w:rsidR="00C900C7" w:rsidRPr="00733700" w:rsidRDefault="00C900C7" w:rsidP="00733700">
      <w:pPr>
        <w:pStyle w:val="SemEspaamento"/>
        <w:spacing w:line="360" w:lineRule="auto"/>
        <w:ind w:left="1068"/>
        <w:jc w:val="both"/>
        <w:rPr>
          <w:rFonts w:asciiTheme="minorHAnsi" w:hAnsiTheme="minorHAnsi" w:cstheme="minorHAnsi"/>
        </w:rPr>
      </w:pPr>
    </w:p>
    <w:p w:rsidR="004B0A88" w:rsidRDefault="00AF4208" w:rsidP="00733700">
      <w:pPr>
        <w:pStyle w:val="SemEspaamento"/>
        <w:numPr>
          <w:ilvl w:val="0"/>
          <w:numId w:val="23"/>
        </w:numPr>
        <w:spacing w:line="360" w:lineRule="auto"/>
        <w:ind w:left="709" w:hanging="1"/>
        <w:jc w:val="both"/>
        <w:rPr>
          <w:rFonts w:asciiTheme="minorHAnsi" w:hAnsiTheme="minorHAnsi" w:cstheme="minorHAnsi"/>
        </w:rPr>
      </w:pPr>
      <w:r w:rsidRPr="00C900C7">
        <w:rPr>
          <w:rFonts w:asciiTheme="minorHAnsi" w:hAnsiTheme="minorHAnsi" w:cstheme="minorHAnsi"/>
          <w:b/>
          <w:u w:val="single"/>
        </w:rPr>
        <w:lastRenderedPageBreak/>
        <w:t xml:space="preserve">Itens </w:t>
      </w:r>
      <w:r w:rsidR="00D06519" w:rsidRPr="00C900C7">
        <w:rPr>
          <w:rFonts w:asciiTheme="minorHAnsi" w:hAnsiTheme="minorHAnsi" w:cstheme="minorHAnsi"/>
          <w:b/>
          <w:u w:val="single"/>
        </w:rPr>
        <w:t xml:space="preserve">não </w:t>
      </w:r>
      <w:r w:rsidRPr="00C900C7">
        <w:rPr>
          <w:rFonts w:asciiTheme="minorHAnsi" w:hAnsiTheme="minorHAnsi" w:cstheme="minorHAnsi"/>
          <w:b/>
          <w:u w:val="single"/>
        </w:rPr>
        <w:t>encontrados na Pesquisa de Mercado</w:t>
      </w:r>
      <w:r w:rsidR="002A7AE5" w:rsidRPr="00C900C7">
        <w:rPr>
          <w:rFonts w:asciiTheme="minorHAnsi" w:hAnsiTheme="minorHAnsi" w:cstheme="minorHAnsi"/>
          <w:b/>
          <w:u w:val="single"/>
        </w:rPr>
        <w:t>.</w:t>
      </w:r>
      <w:r w:rsidRPr="00733700">
        <w:rPr>
          <w:rFonts w:asciiTheme="minorHAnsi" w:hAnsiTheme="minorHAnsi" w:cstheme="minorHAnsi"/>
        </w:rPr>
        <w:t xml:space="preserve"> </w:t>
      </w:r>
      <w:r w:rsidR="004B0A88" w:rsidRPr="00733700">
        <w:rPr>
          <w:rFonts w:asciiTheme="minorHAnsi" w:hAnsiTheme="minorHAnsi" w:cstheme="minorHAnsi"/>
        </w:rPr>
        <w:t xml:space="preserve">Como advertido acima, a pesquisa de mercado foi realizada com amparo em termo de referência inicial, contendo 279 itens. Ocorre que itens </w:t>
      </w:r>
      <w:r w:rsidR="002E54E3" w:rsidRPr="00733700">
        <w:rPr>
          <w:rFonts w:asciiTheme="minorHAnsi" w:hAnsiTheme="minorHAnsi" w:cstheme="minorHAnsi"/>
        </w:rPr>
        <w:t>acrescidos ao novo Termo de Referência</w:t>
      </w:r>
      <w:r w:rsidR="004B0A88" w:rsidRPr="00733700">
        <w:rPr>
          <w:rFonts w:asciiTheme="minorHAnsi" w:hAnsiTheme="minorHAnsi" w:cstheme="minorHAnsi"/>
        </w:rPr>
        <w:t xml:space="preserve"> </w:t>
      </w:r>
      <w:r w:rsidR="002E54E3" w:rsidRPr="00733700">
        <w:rPr>
          <w:rFonts w:asciiTheme="minorHAnsi" w:hAnsiTheme="minorHAnsi" w:cstheme="minorHAnsi"/>
        </w:rPr>
        <w:t>não foram</w:t>
      </w:r>
      <w:r w:rsidR="004B0A88" w:rsidRPr="00733700">
        <w:rPr>
          <w:rFonts w:asciiTheme="minorHAnsi" w:hAnsiTheme="minorHAnsi" w:cstheme="minorHAnsi"/>
        </w:rPr>
        <w:t xml:space="preserve"> </w:t>
      </w:r>
      <w:r w:rsidR="002E54E3" w:rsidRPr="00733700">
        <w:rPr>
          <w:rFonts w:asciiTheme="minorHAnsi" w:hAnsiTheme="minorHAnsi" w:cstheme="minorHAnsi"/>
        </w:rPr>
        <w:t>submetidos à</w:t>
      </w:r>
      <w:r w:rsidR="004B0A88" w:rsidRPr="00733700">
        <w:rPr>
          <w:rFonts w:asciiTheme="minorHAnsi" w:hAnsiTheme="minorHAnsi" w:cstheme="minorHAnsi"/>
        </w:rPr>
        <w:t xml:space="preserve"> pesquisa de mercado, de modo que não possu</w:t>
      </w:r>
      <w:r w:rsidR="009700E1" w:rsidRPr="00733700">
        <w:rPr>
          <w:rFonts w:asciiTheme="minorHAnsi" w:hAnsiTheme="minorHAnsi" w:cstheme="minorHAnsi"/>
        </w:rPr>
        <w:t>em</w:t>
      </w:r>
      <w:r w:rsidR="004B0A88" w:rsidRPr="00733700">
        <w:rPr>
          <w:rFonts w:asciiTheme="minorHAnsi" w:hAnsiTheme="minorHAnsi" w:cstheme="minorHAnsi"/>
        </w:rPr>
        <w:t xml:space="preserve"> valor referencial para a contratação. A </w:t>
      </w:r>
      <w:r w:rsidR="002A7AE5" w:rsidRPr="00733700">
        <w:rPr>
          <w:rFonts w:asciiTheme="minorHAnsi" w:hAnsiTheme="minorHAnsi" w:cstheme="minorHAnsi"/>
        </w:rPr>
        <w:t xml:space="preserve">título de ilustração, segue </w:t>
      </w:r>
      <w:r w:rsidR="00DA353B">
        <w:rPr>
          <w:rFonts w:asciiTheme="minorHAnsi" w:hAnsiTheme="minorHAnsi" w:cstheme="minorHAnsi"/>
        </w:rPr>
        <w:t xml:space="preserve">Tabela 02 </w:t>
      </w:r>
      <w:r w:rsidR="002A7AE5" w:rsidRPr="00733700">
        <w:rPr>
          <w:rFonts w:asciiTheme="minorHAnsi" w:hAnsiTheme="minorHAnsi" w:cstheme="minorHAnsi"/>
        </w:rPr>
        <w:t>abaixo:</w:t>
      </w:r>
    </w:p>
    <w:p w:rsidR="00DA353B" w:rsidRDefault="00DA353B" w:rsidP="00DA353B">
      <w:pPr>
        <w:pStyle w:val="SemEspaamento"/>
        <w:spacing w:line="360" w:lineRule="auto"/>
        <w:jc w:val="center"/>
        <w:rPr>
          <w:rFonts w:asciiTheme="minorHAnsi" w:hAnsiTheme="minorHAnsi" w:cstheme="minorHAnsi"/>
          <w:b/>
        </w:rPr>
      </w:pPr>
    </w:p>
    <w:p w:rsidR="00DA353B" w:rsidRPr="00C900C7" w:rsidRDefault="00DA353B" w:rsidP="00DA353B">
      <w:pPr>
        <w:pStyle w:val="SemEspaamento"/>
        <w:spacing w:line="360" w:lineRule="auto"/>
        <w:jc w:val="center"/>
        <w:rPr>
          <w:rFonts w:asciiTheme="minorHAnsi" w:hAnsiTheme="minorHAnsi" w:cstheme="minorHAnsi"/>
          <w:b/>
        </w:rPr>
      </w:pPr>
      <w:r w:rsidRPr="00C900C7">
        <w:rPr>
          <w:rFonts w:asciiTheme="minorHAnsi" w:hAnsiTheme="minorHAnsi" w:cstheme="minorHAnsi"/>
          <w:b/>
        </w:rPr>
        <w:t>TABELA 0</w:t>
      </w:r>
      <w:r>
        <w:rPr>
          <w:rFonts w:asciiTheme="minorHAnsi" w:hAnsiTheme="minorHAnsi" w:cstheme="minorHAnsi"/>
          <w:b/>
        </w:rPr>
        <w:t>2</w:t>
      </w:r>
      <w:r w:rsidRPr="00C900C7">
        <w:rPr>
          <w:rFonts w:asciiTheme="minorHAnsi" w:hAnsiTheme="minorHAnsi" w:cstheme="minorHAnsi"/>
          <w:b/>
        </w:rPr>
        <w:t xml:space="preserve"> – I</w:t>
      </w:r>
      <w:r>
        <w:rPr>
          <w:rFonts w:asciiTheme="minorHAnsi" w:hAnsiTheme="minorHAnsi" w:cstheme="minorHAnsi"/>
          <w:b/>
        </w:rPr>
        <w:t>TENS NÃO VERIFICADOS NA PESQUISA DE MARCADO</w:t>
      </w:r>
    </w:p>
    <w:tbl>
      <w:tblPr>
        <w:tblStyle w:val="Tabelacomgrade"/>
        <w:tblW w:w="0" w:type="auto"/>
        <w:jc w:val="center"/>
        <w:tblInd w:w="1517" w:type="dxa"/>
        <w:tblLook w:val="04A0"/>
      </w:tblPr>
      <w:tblGrid>
        <w:gridCol w:w="6521"/>
      </w:tblGrid>
      <w:tr w:rsidR="004B0A88" w:rsidRPr="00733700" w:rsidTr="00DA353B">
        <w:trPr>
          <w:jc w:val="center"/>
        </w:trPr>
        <w:tc>
          <w:tcPr>
            <w:tcW w:w="6521" w:type="dxa"/>
            <w:shd w:val="clear" w:color="auto" w:fill="BFBFBF" w:themeFill="background1" w:themeFillShade="BF"/>
            <w:vAlign w:val="center"/>
          </w:tcPr>
          <w:p w:rsidR="004B0A88" w:rsidRPr="00670EE6" w:rsidRDefault="004B0A88" w:rsidP="00670EE6">
            <w:pPr>
              <w:pStyle w:val="SemEspaamento"/>
              <w:jc w:val="center"/>
              <w:rPr>
                <w:rFonts w:asciiTheme="minorHAnsi" w:hAnsiTheme="minorHAnsi" w:cstheme="minorHAnsi"/>
                <w:b/>
                <w:sz w:val="20"/>
                <w:szCs w:val="20"/>
              </w:rPr>
            </w:pPr>
            <w:r w:rsidRPr="00670EE6">
              <w:rPr>
                <w:rFonts w:asciiTheme="minorHAnsi" w:hAnsiTheme="minorHAnsi" w:cstheme="minorHAnsi"/>
                <w:b/>
                <w:sz w:val="20"/>
                <w:szCs w:val="20"/>
              </w:rPr>
              <w:t>Itens não verificados na pesquisa de mercado (Mapa, fls. 214/230</w:t>
            </w:r>
            <w:proofErr w:type="gramStart"/>
            <w:r w:rsidRPr="00670EE6">
              <w:rPr>
                <w:rFonts w:asciiTheme="minorHAnsi" w:hAnsiTheme="minorHAnsi" w:cstheme="minorHAnsi"/>
                <w:b/>
                <w:sz w:val="20"/>
                <w:szCs w:val="20"/>
              </w:rPr>
              <w:t>)</w:t>
            </w:r>
            <w:proofErr w:type="gramEnd"/>
          </w:p>
        </w:tc>
      </w:tr>
      <w:tr w:rsidR="004B0A88" w:rsidRPr="00733700" w:rsidTr="00DA353B">
        <w:trPr>
          <w:jc w:val="center"/>
        </w:trPr>
        <w:tc>
          <w:tcPr>
            <w:tcW w:w="6521" w:type="dxa"/>
            <w:vAlign w:val="center"/>
          </w:tcPr>
          <w:p w:rsidR="004B0A88" w:rsidRPr="00670EE6" w:rsidRDefault="004B0A88"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 xml:space="preserve">Carbamazepina, xarope pediátrico, 20 </w:t>
            </w:r>
            <w:proofErr w:type="gramStart"/>
            <w:r w:rsidRPr="00670EE6">
              <w:rPr>
                <w:rFonts w:asciiTheme="minorHAnsi" w:hAnsiTheme="minorHAnsi" w:cstheme="minorHAnsi"/>
                <w:sz w:val="20"/>
                <w:szCs w:val="20"/>
              </w:rPr>
              <w:t>mg</w:t>
            </w:r>
            <w:proofErr w:type="gramEnd"/>
            <w:r w:rsidRPr="00670EE6">
              <w:rPr>
                <w:rFonts w:asciiTheme="minorHAnsi" w:hAnsiTheme="minorHAnsi" w:cstheme="minorHAnsi"/>
                <w:sz w:val="20"/>
                <w:szCs w:val="20"/>
              </w:rPr>
              <w:t>/ml, frasco com 100ml (qtde: 600)</w:t>
            </w:r>
          </w:p>
        </w:tc>
      </w:tr>
      <w:tr w:rsidR="004B0A88" w:rsidRPr="00733700" w:rsidTr="00DA353B">
        <w:trPr>
          <w:jc w:val="center"/>
        </w:trPr>
        <w:tc>
          <w:tcPr>
            <w:tcW w:w="6521" w:type="dxa"/>
            <w:vAlign w:val="center"/>
          </w:tcPr>
          <w:p w:rsidR="004B0A88" w:rsidRPr="00670EE6" w:rsidRDefault="004B0A88"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Espironolactona, comprimido, 25mg (qtde: 9.000</w:t>
            </w:r>
            <w:proofErr w:type="gramStart"/>
            <w:r w:rsidRPr="00670EE6">
              <w:rPr>
                <w:rFonts w:asciiTheme="minorHAnsi" w:hAnsiTheme="minorHAnsi" w:cstheme="minorHAnsi"/>
                <w:sz w:val="20"/>
                <w:szCs w:val="20"/>
              </w:rPr>
              <w:t>)</w:t>
            </w:r>
            <w:proofErr w:type="gramEnd"/>
          </w:p>
        </w:tc>
      </w:tr>
      <w:tr w:rsidR="004B0A88" w:rsidRPr="00733700" w:rsidTr="00DA353B">
        <w:trPr>
          <w:jc w:val="center"/>
        </w:trPr>
        <w:tc>
          <w:tcPr>
            <w:tcW w:w="6521" w:type="dxa"/>
            <w:vAlign w:val="center"/>
          </w:tcPr>
          <w:p w:rsidR="004B0A88" w:rsidRPr="00670EE6" w:rsidRDefault="004B0A88"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 xml:space="preserve">Oxacilina sódica. Pó para solução </w:t>
            </w:r>
            <w:r w:rsidR="002A7AE5" w:rsidRPr="00670EE6">
              <w:rPr>
                <w:rFonts w:asciiTheme="minorHAnsi" w:hAnsiTheme="minorHAnsi" w:cstheme="minorHAnsi"/>
                <w:sz w:val="20"/>
                <w:szCs w:val="20"/>
              </w:rPr>
              <w:t>injetável, 500mg, frasco ampola (qtde: 800</w:t>
            </w:r>
            <w:proofErr w:type="gramStart"/>
            <w:r w:rsidR="002A7AE5" w:rsidRPr="00670EE6">
              <w:rPr>
                <w:rFonts w:asciiTheme="minorHAnsi" w:hAnsiTheme="minorHAnsi" w:cstheme="minorHAnsi"/>
                <w:sz w:val="20"/>
                <w:szCs w:val="20"/>
              </w:rPr>
              <w:t>)</w:t>
            </w:r>
            <w:proofErr w:type="gramEnd"/>
            <w:r w:rsidRPr="00670EE6">
              <w:rPr>
                <w:rFonts w:asciiTheme="minorHAnsi" w:hAnsiTheme="minorHAnsi" w:cstheme="minorHAnsi"/>
                <w:sz w:val="20"/>
                <w:szCs w:val="20"/>
              </w:rPr>
              <w:t xml:space="preserve"> </w:t>
            </w:r>
          </w:p>
        </w:tc>
      </w:tr>
      <w:tr w:rsidR="00670EE6" w:rsidRPr="00733700" w:rsidTr="00DA353B">
        <w:trPr>
          <w:jc w:val="center"/>
        </w:trPr>
        <w:tc>
          <w:tcPr>
            <w:tcW w:w="6521" w:type="dxa"/>
            <w:shd w:val="clear" w:color="auto" w:fill="BFBFBF" w:themeFill="background1" w:themeFillShade="BF"/>
            <w:vAlign w:val="center"/>
          </w:tcPr>
          <w:p w:rsidR="00670EE6" w:rsidRPr="00670EE6" w:rsidRDefault="00670EE6" w:rsidP="00670EE6">
            <w:pPr>
              <w:pStyle w:val="SemEspaamento"/>
              <w:jc w:val="center"/>
              <w:rPr>
                <w:rFonts w:asciiTheme="minorHAnsi" w:hAnsiTheme="minorHAnsi" w:cstheme="minorHAnsi"/>
                <w:sz w:val="20"/>
                <w:szCs w:val="20"/>
              </w:rPr>
            </w:pPr>
          </w:p>
        </w:tc>
      </w:tr>
    </w:tbl>
    <w:p w:rsidR="004B0A88" w:rsidRPr="00733700" w:rsidRDefault="004B0A88" w:rsidP="00733700">
      <w:pPr>
        <w:pStyle w:val="SemEspaamento"/>
        <w:spacing w:line="360" w:lineRule="auto"/>
        <w:ind w:left="709"/>
        <w:jc w:val="both"/>
        <w:rPr>
          <w:rFonts w:asciiTheme="minorHAnsi" w:hAnsiTheme="minorHAnsi" w:cstheme="minorHAnsi"/>
        </w:rPr>
      </w:pPr>
    </w:p>
    <w:p w:rsidR="002A7AE5" w:rsidRDefault="002A7AE5" w:rsidP="00DA353B">
      <w:pPr>
        <w:pStyle w:val="SemEspaamento"/>
        <w:numPr>
          <w:ilvl w:val="0"/>
          <w:numId w:val="23"/>
        </w:numPr>
        <w:spacing w:line="360" w:lineRule="auto"/>
        <w:jc w:val="both"/>
        <w:rPr>
          <w:rFonts w:asciiTheme="minorHAnsi" w:hAnsiTheme="minorHAnsi" w:cstheme="minorHAnsi"/>
        </w:rPr>
      </w:pPr>
      <w:r w:rsidRPr="00733700">
        <w:rPr>
          <w:rFonts w:asciiTheme="minorHAnsi" w:hAnsiTheme="minorHAnsi" w:cstheme="minorHAnsi"/>
          <w:b/>
        </w:rPr>
        <w:t>Itens orçados com valores acima do preço estimado.</w:t>
      </w:r>
      <w:r w:rsidRPr="00733700">
        <w:rPr>
          <w:rFonts w:asciiTheme="minorHAnsi" w:hAnsiTheme="minorHAnsi" w:cstheme="minorHAnsi"/>
        </w:rPr>
        <w:t xml:space="preserve"> Considerando que a pesquisa de mercado implica no limite máximo do valor a ser contratado, alerte-se para a existência de propostas classificadas como válidas a despeito de ultrapassarem o valor referencial. </w:t>
      </w:r>
      <w:r w:rsidR="000B6470" w:rsidRPr="00733700">
        <w:rPr>
          <w:rFonts w:asciiTheme="minorHAnsi" w:hAnsiTheme="minorHAnsi" w:cstheme="minorHAnsi"/>
        </w:rPr>
        <w:t>A título de ilustração, segue quadro abaixo</w:t>
      </w:r>
      <w:r w:rsidRPr="00733700">
        <w:rPr>
          <w:rFonts w:asciiTheme="minorHAnsi" w:hAnsiTheme="minorHAnsi" w:cstheme="minorHAnsi"/>
        </w:rPr>
        <w:t>:</w:t>
      </w:r>
    </w:p>
    <w:p w:rsidR="00DA353B" w:rsidRDefault="00DA353B" w:rsidP="00DA353B">
      <w:pPr>
        <w:pStyle w:val="SemEspaamento"/>
        <w:spacing w:line="360" w:lineRule="auto"/>
        <w:ind w:left="708"/>
        <w:rPr>
          <w:rFonts w:asciiTheme="minorHAnsi" w:hAnsiTheme="minorHAnsi" w:cstheme="minorHAnsi"/>
          <w:b/>
        </w:rPr>
      </w:pPr>
    </w:p>
    <w:p w:rsidR="00DA353B" w:rsidRPr="00C900C7" w:rsidRDefault="00DA353B" w:rsidP="00DA353B">
      <w:pPr>
        <w:pStyle w:val="SemEspaamento"/>
        <w:spacing w:line="360" w:lineRule="auto"/>
        <w:ind w:left="708"/>
        <w:jc w:val="center"/>
        <w:rPr>
          <w:rFonts w:asciiTheme="minorHAnsi" w:hAnsiTheme="minorHAnsi" w:cstheme="minorHAnsi"/>
          <w:b/>
        </w:rPr>
      </w:pPr>
      <w:r w:rsidRPr="00C900C7">
        <w:rPr>
          <w:rFonts w:asciiTheme="minorHAnsi" w:hAnsiTheme="minorHAnsi" w:cstheme="minorHAnsi"/>
          <w:b/>
        </w:rPr>
        <w:t>TABELA 0</w:t>
      </w:r>
      <w:r>
        <w:rPr>
          <w:rFonts w:asciiTheme="minorHAnsi" w:hAnsiTheme="minorHAnsi" w:cstheme="minorHAnsi"/>
          <w:b/>
        </w:rPr>
        <w:t>3</w:t>
      </w:r>
      <w:r w:rsidRPr="00C900C7">
        <w:rPr>
          <w:rFonts w:asciiTheme="minorHAnsi" w:hAnsiTheme="minorHAnsi" w:cstheme="minorHAnsi"/>
          <w:b/>
        </w:rPr>
        <w:t xml:space="preserve"> – </w:t>
      </w:r>
      <w:r>
        <w:rPr>
          <w:rFonts w:asciiTheme="minorHAnsi" w:hAnsiTheme="minorHAnsi" w:cstheme="minorHAnsi"/>
          <w:b/>
        </w:rPr>
        <w:t>VALOR DE REFERÊNCIA X VALOR COTADO POR EMPRESAS DO RAMO</w:t>
      </w:r>
    </w:p>
    <w:tbl>
      <w:tblPr>
        <w:tblStyle w:val="Tabelacomgrade"/>
        <w:tblW w:w="0" w:type="auto"/>
        <w:jc w:val="right"/>
        <w:tblInd w:w="817" w:type="dxa"/>
        <w:tblLook w:val="04A0"/>
      </w:tblPr>
      <w:tblGrid>
        <w:gridCol w:w="4360"/>
        <w:gridCol w:w="4110"/>
      </w:tblGrid>
      <w:tr w:rsidR="00D30EB4" w:rsidRPr="00733700" w:rsidTr="00317FA8">
        <w:trPr>
          <w:jc w:val="right"/>
        </w:trPr>
        <w:tc>
          <w:tcPr>
            <w:tcW w:w="4360" w:type="dxa"/>
            <w:shd w:val="clear" w:color="auto" w:fill="BFBFBF" w:themeFill="background1" w:themeFillShade="BF"/>
            <w:vAlign w:val="center"/>
          </w:tcPr>
          <w:p w:rsidR="00D30EB4" w:rsidRPr="00670EE6" w:rsidRDefault="00D30EB4" w:rsidP="00670EE6">
            <w:pPr>
              <w:pStyle w:val="SemEspaamento"/>
              <w:jc w:val="center"/>
              <w:rPr>
                <w:rFonts w:asciiTheme="minorHAnsi" w:hAnsiTheme="minorHAnsi" w:cstheme="minorHAnsi"/>
                <w:b/>
                <w:sz w:val="20"/>
                <w:szCs w:val="20"/>
              </w:rPr>
            </w:pPr>
            <w:r w:rsidRPr="00670EE6">
              <w:rPr>
                <w:rFonts w:asciiTheme="minorHAnsi" w:hAnsiTheme="minorHAnsi" w:cstheme="minorHAnsi"/>
                <w:b/>
                <w:sz w:val="20"/>
                <w:szCs w:val="20"/>
              </w:rPr>
              <w:t>Valor de referência (R$)</w:t>
            </w:r>
            <w:r w:rsidR="00376DA6" w:rsidRPr="00670EE6">
              <w:rPr>
                <w:rFonts w:asciiTheme="minorHAnsi" w:hAnsiTheme="minorHAnsi" w:cstheme="minorHAnsi"/>
                <w:b/>
                <w:sz w:val="20"/>
                <w:szCs w:val="20"/>
              </w:rPr>
              <w:t xml:space="preserve"> - (Mapa, às fls. 214/230</w:t>
            </w:r>
            <w:proofErr w:type="gramStart"/>
            <w:r w:rsidR="00376DA6" w:rsidRPr="00670EE6">
              <w:rPr>
                <w:rFonts w:asciiTheme="minorHAnsi" w:hAnsiTheme="minorHAnsi" w:cstheme="minorHAnsi"/>
                <w:b/>
                <w:sz w:val="20"/>
                <w:szCs w:val="20"/>
              </w:rPr>
              <w:t>)</w:t>
            </w:r>
            <w:proofErr w:type="gramEnd"/>
          </w:p>
        </w:tc>
        <w:tc>
          <w:tcPr>
            <w:tcW w:w="4110" w:type="dxa"/>
            <w:shd w:val="clear" w:color="auto" w:fill="BFBFBF" w:themeFill="background1" w:themeFillShade="BF"/>
            <w:vAlign w:val="center"/>
          </w:tcPr>
          <w:p w:rsidR="00D30EB4" w:rsidRPr="00670EE6" w:rsidRDefault="00D30EB4" w:rsidP="00670EE6">
            <w:pPr>
              <w:pStyle w:val="SemEspaamento"/>
              <w:jc w:val="center"/>
              <w:rPr>
                <w:rFonts w:asciiTheme="minorHAnsi" w:hAnsiTheme="minorHAnsi" w:cstheme="minorHAnsi"/>
                <w:b/>
                <w:sz w:val="20"/>
                <w:szCs w:val="20"/>
              </w:rPr>
            </w:pPr>
            <w:r w:rsidRPr="00670EE6">
              <w:rPr>
                <w:rFonts w:asciiTheme="minorHAnsi" w:hAnsiTheme="minorHAnsi" w:cstheme="minorHAnsi"/>
                <w:b/>
                <w:sz w:val="20"/>
                <w:szCs w:val="20"/>
              </w:rPr>
              <w:t>Valor cotado</w:t>
            </w:r>
            <w:r w:rsidR="00376DA6" w:rsidRPr="00670EE6">
              <w:rPr>
                <w:rFonts w:asciiTheme="minorHAnsi" w:hAnsiTheme="minorHAnsi" w:cstheme="minorHAnsi"/>
                <w:b/>
                <w:sz w:val="20"/>
                <w:szCs w:val="20"/>
              </w:rPr>
              <w:t xml:space="preserve"> por empresas do ramo</w:t>
            </w:r>
            <w:r w:rsidRPr="00670EE6">
              <w:rPr>
                <w:rFonts w:asciiTheme="minorHAnsi" w:hAnsiTheme="minorHAnsi" w:cstheme="minorHAnsi"/>
                <w:b/>
                <w:sz w:val="20"/>
                <w:szCs w:val="20"/>
              </w:rPr>
              <w:t xml:space="preserve"> (R$)</w:t>
            </w:r>
          </w:p>
        </w:tc>
      </w:tr>
      <w:tr w:rsidR="00D30EB4" w:rsidRPr="00733700" w:rsidTr="00317FA8">
        <w:trPr>
          <w:jc w:val="right"/>
        </w:trPr>
        <w:tc>
          <w:tcPr>
            <w:tcW w:w="4360" w:type="dxa"/>
            <w:vAlign w:val="center"/>
          </w:tcPr>
          <w:p w:rsidR="00376DA6" w:rsidRPr="00670EE6" w:rsidRDefault="00D30EB4"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Item 1</w:t>
            </w:r>
            <w:r w:rsidR="00376DA6" w:rsidRPr="00670EE6">
              <w:rPr>
                <w:rFonts w:asciiTheme="minorHAnsi" w:hAnsiTheme="minorHAnsi" w:cstheme="minorHAnsi"/>
                <w:sz w:val="20"/>
                <w:szCs w:val="20"/>
              </w:rPr>
              <w:t>1</w:t>
            </w:r>
            <w:r w:rsidRPr="00670EE6">
              <w:rPr>
                <w:rFonts w:asciiTheme="minorHAnsi" w:hAnsiTheme="minorHAnsi" w:cstheme="minorHAnsi"/>
                <w:sz w:val="20"/>
                <w:szCs w:val="20"/>
              </w:rPr>
              <w:t xml:space="preserve">1. </w:t>
            </w:r>
            <w:r w:rsidR="00376DA6" w:rsidRPr="00670EE6">
              <w:rPr>
                <w:rFonts w:asciiTheme="minorHAnsi" w:hAnsiTheme="minorHAnsi" w:cstheme="minorHAnsi"/>
                <w:sz w:val="20"/>
                <w:szCs w:val="20"/>
              </w:rPr>
              <w:t xml:space="preserve">Fenobarbital, frasco com 20mg (fl. </w:t>
            </w:r>
            <w:proofErr w:type="gramStart"/>
            <w:r w:rsidR="00376DA6" w:rsidRPr="00670EE6">
              <w:rPr>
                <w:rFonts w:asciiTheme="minorHAnsi" w:hAnsiTheme="minorHAnsi" w:cstheme="minorHAnsi"/>
                <w:sz w:val="20"/>
                <w:szCs w:val="20"/>
              </w:rPr>
              <w:t>220v</w:t>
            </w:r>
            <w:proofErr w:type="gramEnd"/>
            <w:r w:rsidR="00376DA6" w:rsidRPr="00670EE6">
              <w:rPr>
                <w:rFonts w:asciiTheme="minorHAnsi" w:hAnsiTheme="minorHAnsi" w:cstheme="minorHAnsi"/>
                <w:sz w:val="20"/>
                <w:szCs w:val="20"/>
              </w:rPr>
              <w:t>)</w:t>
            </w:r>
          </w:p>
          <w:p w:rsidR="00D30EB4" w:rsidRPr="00670EE6" w:rsidRDefault="00376DA6"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Valor unitário: R$ 1,61</w:t>
            </w:r>
          </w:p>
        </w:tc>
        <w:tc>
          <w:tcPr>
            <w:tcW w:w="4110" w:type="dxa"/>
            <w:vAlign w:val="center"/>
          </w:tcPr>
          <w:p w:rsidR="00D30EB4" w:rsidRPr="00670EE6" w:rsidRDefault="00376DA6"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 xml:space="preserve">Item 152. Fenobarbital, frasco com 20mg, Valor unitário: </w:t>
            </w:r>
            <w:r w:rsidRPr="00670EE6">
              <w:rPr>
                <w:rFonts w:asciiTheme="minorHAnsi" w:hAnsiTheme="minorHAnsi" w:cstheme="minorHAnsi"/>
                <w:b/>
                <w:sz w:val="20"/>
                <w:szCs w:val="20"/>
                <w:u w:val="single"/>
              </w:rPr>
              <w:t>R$ 2,35</w:t>
            </w:r>
            <w:r w:rsidRPr="00670EE6">
              <w:rPr>
                <w:rFonts w:asciiTheme="minorHAnsi" w:hAnsiTheme="minorHAnsi" w:cstheme="minorHAnsi"/>
                <w:b/>
                <w:sz w:val="20"/>
                <w:szCs w:val="20"/>
              </w:rPr>
              <w:t xml:space="preserve"> (Empresa Cristália</w:t>
            </w:r>
            <w:proofErr w:type="gramStart"/>
            <w:r w:rsidRPr="00670EE6">
              <w:rPr>
                <w:rFonts w:asciiTheme="minorHAnsi" w:hAnsiTheme="minorHAnsi" w:cstheme="minorHAnsi"/>
                <w:b/>
                <w:sz w:val="20"/>
                <w:szCs w:val="20"/>
              </w:rPr>
              <w:t>)</w:t>
            </w:r>
            <w:proofErr w:type="gramEnd"/>
          </w:p>
        </w:tc>
      </w:tr>
      <w:tr w:rsidR="00376DA6" w:rsidRPr="00733700" w:rsidTr="00317FA8">
        <w:trPr>
          <w:jc w:val="right"/>
        </w:trPr>
        <w:tc>
          <w:tcPr>
            <w:tcW w:w="4360" w:type="dxa"/>
            <w:vAlign w:val="center"/>
          </w:tcPr>
          <w:p w:rsidR="00376DA6" w:rsidRPr="00670EE6" w:rsidRDefault="00376DA6"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 xml:space="preserve">Item 69. Claritromicina, frasco com 60mg (fl. 218), Valor unitário: R$ </w:t>
            </w:r>
            <w:proofErr w:type="gramStart"/>
            <w:r w:rsidRPr="00670EE6">
              <w:rPr>
                <w:rFonts w:asciiTheme="minorHAnsi" w:hAnsiTheme="minorHAnsi" w:cstheme="minorHAnsi"/>
                <w:sz w:val="20"/>
                <w:szCs w:val="20"/>
              </w:rPr>
              <w:t>56,89</w:t>
            </w:r>
            <w:proofErr w:type="gramEnd"/>
          </w:p>
        </w:tc>
        <w:tc>
          <w:tcPr>
            <w:tcW w:w="4110" w:type="dxa"/>
            <w:vAlign w:val="center"/>
          </w:tcPr>
          <w:p w:rsidR="00376DA6" w:rsidRPr="00670EE6" w:rsidRDefault="00376DA6" w:rsidP="00670EE6">
            <w:pPr>
              <w:pStyle w:val="SemEspaamento"/>
              <w:jc w:val="center"/>
              <w:rPr>
                <w:rFonts w:asciiTheme="minorHAnsi" w:hAnsiTheme="minorHAnsi" w:cstheme="minorHAnsi"/>
                <w:sz w:val="20"/>
                <w:szCs w:val="20"/>
              </w:rPr>
            </w:pPr>
            <w:r w:rsidRPr="00670EE6">
              <w:rPr>
                <w:rFonts w:asciiTheme="minorHAnsi" w:hAnsiTheme="minorHAnsi" w:cstheme="minorHAnsi"/>
                <w:sz w:val="20"/>
                <w:szCs w:val="20"/>
              </w:rPr>
              <w:t xml:space="preserve">Item 69. Claritromicina, frasco com 60mg, (fl.925), Valor unitário: </w:t>
            </w:r>
            <w:r w:rsidRPr="00670EE6">
              <w:rPr>
                <w:rFonts w:asciiTheme="minorHAnsi" w:hAnsiTheme="minorHAnsi" w:cstheme="minorHAnsi"/>
                <w:b/>
                <w:sz w:val="20"/>
                <w:szCs w:val="20"/>
                <w:u w:val="single"/>
              </w:rPr>
              <w:t>R$ 95,26</w:t>
            </w:r>
            <w:r w:rsidRPr="00670EE6">
              <w:rPr>
                <w:rFonts w:asciiTheme="minorHAnsi" w:hAnsiTheme="minorHAnsi" w:cstheme="minorHAnsi"/>
                <w:b/>
                <w:sz w:val="20"/>
                <w:szCs w:val="20"/>
              </w:rPr>
              <w:t xml:space="preserve"> (Empresa CSMED</w:t>
            </w:r>
            <w:proofErr w:type="gramStart"/>
            <w:r w:rsidRPr="00670EE6">
              <w:rPr>
                <w:rFonts w:asciiTheme="minorHAnsi" w:hAnsiTheme="minorHAnsi" w:cstheme="minorHAnsi"/>
                <w:b/>
                <w:sz w:val="20"/>
                <w:szCs w:val="20"/>
              </w:rPr>
              <w:t>)</w:t>
            </w:r>
            <w:proofErr w:type="gramEnd"/>
          </w:p>
        </w:tc>
      </w:tr>
      <w:tr w:rsidR="00670EE6" w:rsidRPr="00733700" w:rsidTr="00317FA8">
        <w:trPr>
          <w:jc w:val="right"/>
        </w:trPr>
        <w:tc>
          <w:tcPr>
            <w:tcW w:w="4360" w:type="dxa"/>
            <w:shd w:val="clear" w:color="auto" w:fill="BFBFBF" w:themeFill="background1" w:themeFillShade="BF"/>
            <w:vAlign w:val="center"/>
          </w:tcPr>
          <w:p w:rsidR="00670EE6" w:rsidRPr="00670EE6" w:rsidRDefault="00670EE6" w:rsidP="00670EE6">
            <w:pPr>
              <w:pStyle w:val="SemEspaamento"/>
              <w:jc w:val="center"/>
              <w:rPr>
                <w:rFonts w:asciiTheme="minorHAnsi" w:hAnsiTheme="minorHAnsi" w:cstheme="minorHAnsi"/>
                <w:sz w:val="20"/>
                <w:szCs w:val="20"/>
              </w:rPr>
            </w:pPr>
          </w:p>
        </w:tc>
        <w:tc>
          <w:tcPr>
            <w:tcW w:w="4110" w:type="dxa"/>
            <w:shd w:val="clear" w:color="auto" w:fill="BFBFBF" w:themeFill="background1" w:themeFillShade="BF"/>
            <w:vAlign w:val="center"/>
          </w:tcPr>
          <w:p w:rsidR="00670EE6" w:rsidRPr="00670EE6" w:rsidRDefault="00670EE6" w:rsidP="00670EE6">
            <w:pPr>
              <w:pStyle w:val="SemEspaamento"/>
              <w:jc w:val="center"/>
              <w:rPr>
                <w:rFonts w:asciiTheme="minorHAnsi" w:hAnsiTheme="minorHAnsi" w:cstheme="minorHAnsi"/>
                <w:sz w:val="20"/>
                <w:szCs w:val="20"/>
              </w:rPr>
            </w:pPr>
          </w:p>
        </w:tc>
      </w:tr>
    </w:tbl>
    <w:p w:rsidR="00D30EB4" w:rsidRPr="00733700" w:rsidRDefault="00D30EB4" w:rsidP="00733700">
      <w:pPr>
        <w:pStyle w:val="SemEspaamento"/>
        <w:spacing w:line="360" w:lineRule="auto"/>
        <w:ind w:firstLine="708"/>
        <w:jc w:val="both"/>
        <w:rPr>
          <w:rFonts w:asciiTheme="minorHAnsi" w:hAnsiTheme="minorHAnsi" w:cstheme="minorHAnsi"/>
        </w:rPr>
      </w:pPr>
    </w:p>
    <w:p w:rsidR="00E02E11" w:rsidRPr="00733700" w:rsidRDefault="003A6009" w:rsidP="00733700">
      <w:pPr>
        <w:pStyle w:val="SemEspaamento"/>
        <w:spacing w:line="360" w:lineRule="auto"/>
        <w:ind w:firstLine="708"/>
        <w:jc w:val="both"/>
        <w:rPr>
          <w:rFonts w:asciiTheme="minorHAnsi" w:hAnsiTheme="minorHAnsi" w:cstheme="minorHAnsi"/>
        </w:rPr>
      </w:pPr>
      <w:r w:rsidRPr="00733700">
        <w:rPr>
          <w:rFonts w:asciiTheme="minorHAnsi" w:hAnsiTheme="minorHAnsi" w:cstheme="minorHAnsi"/>
          <w:b/>
        </w:rPr>
        <w:t>II. INOBSERVÂNCIA</w:t>
      </w:r>
      <w:r w:rsidR="00AF616F" w:rsidRPr="00733700">
        <w:rPr>
          <w:rFonts w:asciiTheme="minorHAnsi" w:hAnsiTheme="minorHAnsi" w:cstheme="minorHAnsi"/>
          <w:b/>
        </w:rPr>
        <w:t xml:space="preserve"> DAS NORMAS DA CMED</w:t>
      </w:r>
      <w:r w:rsidR="00AF616F" w:rsidRPr="00733700">
        <w:rPr>
          <w:rFonts w:asciiTheme="minorHAnsi" w:hAnsiTheme="minorHAnsi" w:cstheme="minorHAnsi"/>
        </w:rPr>
        <w:t xml:space="preserve">. </w:t>
      </w:r>
      <w:r w:rsidR="00E02E11" w:rsidRPr="00733700">
        <w:rPr>
          <w:rFonts w:asciiTheme="minorHAnsi" w:hAnsiTheme="minorHAnsi" w:cstheme="minorHAnsi"/>
        </w:rPr>
        <w:t xml:space="preserve">Depreende-se dos autos a ausência de menção às normas da </w:t>
      </w:r>
      <w:r w:rsidR="00E02E11" w:rsidRPr="00733700">
        <w:rPr>
          <w:rFonts w:asciiTheme="minorHAnsi" w:hAnsiTheme="minorHAnsi" w:cstheme="minorHAnsi"/>
          <w:bCs/>
        </w:rPr>
        <w:t xml:space="preserve">Câmara de Regulação do Mercado de Medicamentos – CMED/ANVISA, </w:t>
      </w:r>
      <w:r w:rsidR="00E02E11" w:rsidRPr="00733700">
        <w:rPr>
          <w:rFonts w:asciiTheme="minorHAnsi" w:hAnsiTheme="minorHAnsi" w:cstheme="minorHAnsi"/>
          <w:b/>
          <w:bCs/>
        </w:rPr>
        <w:t xml:space="preserve">de modo que se revela necessária </w:t>
      </w:r>
      <w:r w:rsidR="00DA353B">
        <w:rPr>
          <w:rFonts w:asciiTheme="minorHAnsi" w:hAnsiTheme="minorHAnsi" w:cstheme="minorHAnsi"/>
          <w:b/>
          <w:bCs/>
        </w:rPr>
        <w:t>à</w:t>
      </w:r>
      <w:r w:rsidR="00E02E11" w:rsidRPr="00733700">
        <w:rPr>
          <w:rFonts w:asciiTheme="minorHAnsi" w:hAnsiTheme="minorHAnsi" w:cstheme="minorHAnsi"/>
          <w:b/>
          <w:bCs/>
        </w:rPr>
        <w:t xml:space="preserve"> declaração do servidor competente pela pesquisa de mercado acerca da estrita obediência às diretrizes da Agência de Vigilância Sanitária – ANVISA.</w:t>
      </w:r>
    </w:p>
    <w:p w:rsidR="00A811DA" w:rsidRPr="00733700" w:rsidRDefault="00AF616F" w:rsidP="00733700">
      <w:pPr>
        <w:pStyle w:val="SemEspaamento"/>
        <w:spacing w:line="360" w:lineRule="auto"/>
        <w:ind w:firstLine="708"/>
        <w:jc w:val="both"/>
        <w:rPr>
          <w:rFonts w:asciiTheme="minorHAnsi" w:hAnsiTheme="minorHAnsi" w:cstheme="minorHAnsi"/>
        </w:rPr>
      </w:pPr>
      <w:r w:rsidRPr="00733700">
        <w:rPr>
          <w:rFonts w:asciiTheme="minorHAnsi" w:hAnsiTheme="minorHAnsi" w:cstheme="minorHAnsi"/>
        </w:rPr>
        <w:t xml:space="preserve">As compras públicas de medicamentos são regulamentadas pela </w:t>
      </w:r>
      <w:r w:rsidRPr="00733700">
        <w:rPr>
          <w:rFonts w:asciiTheme="minorHAnsi" w:hAnsiTheme="minorHAnsi" w:cstheme="minorHAnsi"/>
          <w:bCs/>
        </w:rPr>
        <w:t xml:space="preserve">CMED, </w:t>
      </w:r>
      <w:r w:rsidRPr="00733700">
        <w:rPr>
          <w:rFonts w:asciiTheme="minorHAnsi" w:hAnsiTheme="minorHAnsi" w:cstheme="minorHAnsi"/>
        </w:rPr>
        <w:t xml:space="preserve">que tem competência para estabelecer critérios para fixação e ajustes de preços de medicamentos a serem observados pelos representantes, distribuidores, farmácias e drogarias. </w:t>
      </w:r>
      <w:r w:rsidR="001222BE" w:rsidRPr="00733700">
        <w:rPr>
          <w:rFonts w:asciiTheme="minorHAnsi" w:hAnsiTheme="minorHAnsi" w:cstheme="minorHAnsi"/>
        </w:rPr>
        <w:t xml:space="preserve"> </w:t>
      </w:r>
    </w:p>
    <w:p w:rsidR="00AF616F" w:rsidRPr="00733700" w:rsidRDefault="00AF616F" w:rsidP="00733700">
      <w:pPr>
        <w:pStyle w:val="SemEspaamento"/>
        <w:spacing w:line="360" w:lineRule="auto"/>
        <w:ind w:firstLine="708"/>
        <w:jc w:val="both"/>
        <w:rPr>
          <w:rFonts w:asciiTheme="minorHAnsi" w:hAnsiTheme="minorHAnsi" w:cstheme="minorHAnsi"/>
        </w:rPr>
      </w:pPr>
      <w:r w:rsidRPr="00733700">
        <w:rPr>
          <w:rFonts w:asciiTheme="minorHAnsi" w:hAnsiTheme="minorHAnsi" w:cstheme="minorHAnsi"/>
        </w:rPr>
        <w:t>A aquisição de medicamentos pela Administração Pública implica na observância compulsória dos valores referenciais obtidos em pesquisas mercadológicas, bem como do Preço de Fábrica e do Preço Máxima de Venda ao Governo, quando couber, nos termos da Orientação Interpretativa nº 02, de 13/11/2006.</w:t>
      </w:r>
    </w:p>
    <w:p w:rsidR="00D3201C" w:rsidRPr="00733700" w:rsidRDefault="00AF616F" w:rsidP="00733700">
      <w:pPr>
        <w:pStyle w:val="SemEspaamento"/>
        <w:spacing w:line="360" w:lineRule="auto"/>
        <w:ind w:firstLine="708"/>
        <w:jc w:val="both"/>
        <w:rPr>
          <w:rFonts w:asciiTheme="minorHAnsi" w:hAnsiTheme="minorHAnsi" w:cstheme="minorHAnsi"/>
        </w:rPr>
      </w:pPr>
      <w:r w:rsidRPr="00733700">
        <w:rPr>
          <w:rFonts w:asciiTheme="minorHAnsi" w:hAnsiTheme="minorHAnsi" w:cstheme="minorHAnsi"/>
        </w:rPr>
        <w:lastRenderedPageBreak/>
        <w:t>Acerca da matéria, merece transcrição parcial de publicação obtida no site do Tribunal de Contas da União – TCU (</w:t>
      </w:r>
      <w:hyperlink r:id="rId10" w:history="1">
        <w:r w:rsidRPr="00733700">
          <w:rPr>
            <w:rStyle w:val="Hyperlink"/>
            <w:rFonts w:asciiTheme="minorHAnsi" w:hAnsiTheme="minorHAnsi" w:cstheme="minorHAnsi"/>
          </w:rPr>
          <w:t>https://portal.tcu.gov.br/biblioteca-digital/preco-de-referencia-em-compras-publicas-enfase-em-medicamentos.htm</w:t>
        </w:r>
      </w:hyperlink>
      <w:r w:rsidRPr="00733700">
        <w:rPr>
          <w:rFonts w:asciiTheme="minorHAnsi" w:hAnsiTheme="minorHAnsi" w:cstheme="minorHAnsi"/>
        </w:rPr>
        <w:t xml:space="preserve">), </w:t>
      </w:r>
      <w:r w:rsidRPr="00733700">
        <w:rPr>
          <w:rFonts w:asciiTheme="minorHAnsi" w:hAnsiTheme="minorHAnsi" w:cstheme="minorHAnsi"/>
          <w:b/>
        </w:rPr>
        <w:t>Preço de Referência em Compras Públicas (Ênfase em Medicamentos)</w:t>
      </w:r>
      <w:r w:rsidRPr="00733700">
        <w:rPr>
          <w:rFonts w:asciiTheme="minorHAnsi" w:hAnsiTheme="minorHAnsi" w:cstheme="minorHAnsi"/>
        </w:rPr>
        <w:t>, de Franklin Brasil:</w:t>
      </w:r>
    </w:p>
    <w:p w:rsidR="00AF616F" w:rsidRPr="004064A2" w:rsidRDefault="00AF616F" w:rsidP="00733700">
      <w:pPr>
        <w:autoSpaceDE w:val="0"/>
        <w:autoSpaceDN w:val="0"/>
        <w:adjustRightInd w:val="0"/>
        <w:spacing w:after="0" w:line="360" w:lineRule="auto"/>
        <w:ind w:left="2835"/>
        <w:jc w:val="both"/>
        <w:rPr>
          <w:rFonts w:asciiTheme="minorHAnsi" w:hAnsiTheme="minorHAnsi" w:cstheme="minorHAnsi"/>
          <w:color w:val="000000"/>
          <w:sz w:val="18"/>
          <w:szCs w:val="18"/>
          <w:lang w:eastAsia="pt-BR"/>
        </w:rPr>
      </w:pPr>
      <w:r w:rsidRPr="004064A2">
        <w:rPr>
          <w:rFonts w:asciiTheme="minorHAnsi" w:hAnsiTheme="minorHAnsi" w:cstheme="minorHAnsi"/>
          <w:color w:val="000000"/>
          <w:sz w:val="18"/>
          <w:szCs w:val="18"/>
          <w:lang w:eastAsia="pt-BR"/>
        </w:rPr>
        <w:t xml:space="preserve">Os critérios de </w:t>
      </w:r>
      <w:r w:rsidRPr="004064A2">
        <w:rPr>
          <w:rFonts w:asciiTheme="minorHAnsi" w:hAnsiTheme="minorHAnsi" w:cstheme="minorHAnsi"/>
          <w:b/>
          <w:bCs/>
          <w:color w:val="000000"/>
          <w:sz w:val="18"/>
          <w:szCs w:val="18"/>
          <w:lang w:eastAsia="pt-BR"/>
        </w:rPr>
        <w:t xml:space="preserve">preços máximos </w:t>
      </w:r>
      <w:r w:rsidRPr="004064A2">
        <w:rPr>
          <w:rFonts w:asciiTheme="minorHAnsi" w:hAnsiTheme="minorHAnsi" w:cstheme="minorHAnsi"/>
          <w:color w:val="000000"/>
          <w:sz w:val="18"/>
          <w:szCs w:val="18"/>
          <w:lang w:eastAsia="pt-BR"/>
        </w:rPr>
        <w:t xml:space="preserve">aos medicamentos no setor público são os seguintes: </w:t>
      </w:r>
    </w:p>
    <w:p w:rsidR="00AF616F" w:rsidRPr="004064A2" w:rsidRDefault="00AF616F" w:rsidP="00733700">
      <w:pPr>
        <w:autoSpaceDE w:val="0"/>
        <w:autoSpaceDN w:val="0"/>
        <w:adjustRightInd w:val="0"/>
        <w:spacing w:after="0" w:line="360" w:lineRule="auto"/>
        <w:ind w:left="2835"/>
        <w:jc w:val="both"/>
        <w:rPr>
          <w:rFonts w:asciiTheme="minorHAnsi" w:hAnsiTheme="minorHAnsi" w:cstheme="minorHAnsi"/>
          <w:color w:val="000000"/>
          <w:sz w:val="18"/>
          <w:szCs w:val="18"/>
          <w:lang w:eastAsia="pt-BR"/>
        </w:rPr>
      </w:pPr>
      <w:r w:rsidRPr="004064A2">
        <w:rPr>
          <w:rFonts w:asciiTheme="minorHAnsi" w:hAnsiTheme="minorHAnsi" w:cstheme="minorHAnsi"/>
          <w:b/>
          <w:bCs/>
          <w:color w:val="000000"/>
          <w:sz w:val="18"/>
          <w:szCs w:val="18"/>
          <w:lang w:eastAsia="pt-BR"/>
        </w:rPr>
        <w:t>(a) Preço de Fábrica (PF)</w:t>
      </w:r>
      <w:r w:rsidR="009700E1" w:rsidRPr="004064A2">
        <w:rPr>
          <w:rFonts w:asciiTheme="minorHAnsi" w:hAnsiTheme="minorHAnsi" w:cstheme="minorHAnsi"/>
          <w:b/>
          <w:bCs/>
          <w:color w:val="000000"/>
          <w:sz w:val="18"/>
          <w:szCs w:val="18"/>
          <w:lang w:eastAsia="pt-BR"/>
        </w:rPr>
        <w:t xml:space="preserve"> - </w:t>
      </w:r>
      <w:r w:rsidRPr="004064A2">
        <w:rPr>
          <w:rFonts w:asciiTheme="minorHAnsi" w:hAnsiTheme="minorHAnsi" w:cstheme="minorHAnsi"/>
          <w:color w:val="000000"/>
          <w:sz w:val="18"/>
          <w:szCs w:val="18"/>
          <w:lang w:eastAsia="pt-BR"/>
        </w:rPr>
        <w:t xml:space="preserve">A venda de medicamentos à Administração Pública deve ter como limite máximo o Preço de Fábrica, definido anualmente pela CMED. Esse entendimento consta da Orientação Interpretativa nº 02, de 13 de novembro de 2006, cujo teor foi ratificado pelo TCU no Acórdão nº 1437-2007 – Plenário. As listas de preços estão disponíveis no site da ANVISA. </w:t>
      </w:r>
    </w:p>
    <w:p w:rsidR="00AF616F" w:rsidRPr="004064A2" w:rsidRDefault="00AF616F" w:rsidP="00733700">
      <w:pPr>
        <w:autoSpaceDE w:val="0"/>
        <w:autoSpaceDN w:val="0"/>
        <w:adjustRightInd w:val="0"/>
        <w:spacing w:after="0" w:line="360" w:lineRule="auto"/>
        <w:ind w:left="2835"/>
        <w:jc w:val="both"/>
        <w:rPr>
          <w:rFonts w:asciiTheme="minorHAnsi" w:hAnsiTheme="minorHAnsi" w:cstheme="minorHAnsi"/>
          <w:color w:val="000000"/>
          <w:sz w:val="18"/>
          <w:szCs w:val="18"/>
          <w:lang w:eastAsia="pt-BR"/>
        </w:rPr>
      </w:pPr>
      <w:r w:rsidRPr="004064A2">
        <w:rPr>
          <w:rFonts w:asciiTheme="minorHAnsi" w:hAnsiTheme="minorHAnsi" w:cstheme="minorHAnsi"/>
          <w:b/>
          <w:bCs/>
          <w:color w:val="000000"/>
          <w:sz w:val="18"/>
          <w:szCs w:val="18"/>
          <w:lang w:eastAsia="pt-BR"/>
        </w:rPr>
        <w:t xml:space="preserve">(b) Preço Máximo de Venda ao Governo (PMVG) </w:t>
      </w:r>
      <w:r w:rsidR="009700E1" w:rsidRPr="004064A2">
        <w:rPr>
          <w:rFonts w:asciiTheme="minorHAnsi" w:hAnsiTheme="minorHAnsi" w:cstheme="minorHAnsi"/>
          <w:b/>
          <w:bCs/>
          <w:color w:val="000000"/>
          <w:sz w:val="18"/>
          <w:szCs w:val="18"/>
          <w:lang w:eastAsia="pt-BR"/>
        </w:rPr>
        <w:t xml:space="preserve">- </w:t>
      </w:r>
      <w:r w:rsidRPr="004064A2">
        <w:rPr>
          <w:rFonts w:asciiTheme="minorHAnsi" w:hAnsiTheme="minorHAnsi" w:cstheme="minorHAnsi"/>
          <w:color w:val="000000"/>
          <w:sz w:val="18"/>
          <w:szCs w:val="18"/>
          <w:lang w:eastAsia="pt-BR"/>
        </w:rPr>
        <w:t>Medicamentos aos quais é aplicado o Coeficiente de Adequação de Preços (CAP), um desconto mínimo obrigatório sobre o Preço de Fábrica quando as vendas tiverem como destinatária a Administração Pública. Qualquer valor pago a maior que o PMVG deve ser considerado prejuízo. Cálculo do PMVG: PMVG = PF * (1- CAP)</w:t>
      </w:r>
    </w:p>
    <w:p w:rsidR="00AF616F" w:rsidRPr="004064A2" w:rsidRDefault="00AF616F" w:rsidP="00733700">
      <w:pPr>
        <w:autoSpaceDE w:val="0"/>
        <w:autoSpaceDN w:val="0"/>
        <w:adjustRightInd w:val="0"/>
        <w:spacing w:after="0" w:line="360" w:lineRule="auto"/>
        <w:ind w:left="2835"/>
        <w:jc w:val="both"/>
        <w:rPr>
          <w:rFonts w:asciiTheme="minorHAnsi" w:hAnsiTheme="minorHAnsi" w:cstheme="minorHAnsi"/>
          <w:color w:val="000000"/>
          <w:sz w:val="18"/>
          <w:szCs w:val="18"/>
          <w:lang w:eastAsia="pt-BR"/>
        </w:rPr>
      </w:pPr>
      <w:r w:rsidRPr="004064A2">
        <w:rPr>
          <w:rFonts w:asciiTheme="minorHAnsi" w:hAnsiTheme="minorHAnsi" w:cstheme="minorHAnsi"/>
          <w:b/>
          <w:bCs/>
          <w:color w:val="000000"/>
          <w:sz w:val="18"/>
          <w:szCs w:val="18"/>
          <w:lang w:eastAsia="pt-BR"/>
        </w:rPr>
        <w:t xml:space="preserve">(c) Desconto ICMS </w:t>
      </w:r>
      <w:r w:rsidR="009700E1" w:rsidRPr="004064A2">
        <w:rPr>
          <w:rFonts w:asciiTheme="minorHAnsi" w:hAnsiTheme="minorHAnsi" w:cstheme="minorHAnsi"/>
          <w:b/>
          <w:bCs/>
          <w:color w:val="000000"/>
          <w:sz w:val="18"/>
          <w:szCs w:val="18"/>
          <w:lang w:eastAsia="pt-BR"/>
        </w:rPr>
        <w:t xml:space="preserve">- </w:t>
      </w:r>
      <w:r w:rsidRPr="004064A2">
        <w:rPr>
          <w:rFonts w:asciiTheme="minorHAnsi" w:hAnsiTheme="minorHAnsi" w:cstheme="minorHAnsi"/>
          <w:color w:val="000000"/>
          <w:sz w:val="18"/>
          <w:szCs w:val="18"/>
          <w:lang w:eastAsia="pt-BR"/>
        </w:rPr>
        <w:t xml:space="preserve">Tanto no PMVG quanto no PF, deve ser observado se o medicamento é isento de ICMS pelo Conselho Nacional de Política Fazendária, nos termos dos Convênios CONFAZ nº 87/2002 e 54/2009. Deduz-se o ICMS do preço-limite. Essa operação deve ficar explícita na Nota Fiscal, que deve conter o ICMS incidente e, em seguida, deduzir o ICMS que seria devido caso não houvesse o benefício. </w:t>
      </w:r>
    </w:p>
    <w:p w:rsidR="00AF616F" w:rsidRPr="004064A2" w:rsidRDefault="00AF616F" w:rsidP="00733700">
      <w:pPr>
        <w:autoSpaceDE w:val="0"/>
        <w:autoSpaceDN w:val="0"/>
        <w:adjustRightInd w:val="0"/>
        <w:spacing w:after="0" w:line="360" w:lineRule="auto"/>
        <w:ind w:left="2835"/>
        <w:jc w:val="both"/>
        <w:rPr>
          <w:rFonts w:asciiTheme="minorHAnsi" w:hAnsiTheme="minorHAnsi" w:cstheme="minorHAnsi"/>
          <w:color w:val="000000"/>
          <w:sz w:val="18"/>
          <w:szCs w:val="18"/>
          <w:lang w:eastAsia="pt-BR"/>
        </w:rPr>
      </w:pPr>
      <w:r w:rsidRPr="004064A2">
        <w:rPr>
          <w:rFonts w:asciiTheme="minorHAnsi" w:hAnsiTheme="minorHAnsi" w:cstheme="minorHAnsi"/>
          <w:color w:val="000000"/>
          <w:sz w:val="18"/>
          <w:szCs w:val="18"/>
          <w:lang w:eastAsia="pt-BR"/>
        </w:rPr>
        <w:t xml:space="preserve">As planilhas disponibilizadas pela ANVISA informam se o produto é submetido ao CAP e/ou isento de ICMS. </w:t>
      </w:r>
    </w:p>
    <w:p w:rsidR="00AF616F" w:rsidRPr="004064A2" w:rsidRDefault="00AF616F" w:rsidP="00733700">
      <w:pPr>
        <w:autoSpaceDE w:val="0"/>
        <w:autoSpaceDN w:val="0"/>
        <w:adjustRightInd w:val="0"/>
        <w:spacing w:after="0" w:line="360" w:lineRule="auto"/>
        <w:ind w:left="2835"/>
        <w:jc w:val="both"/>
        <w:rPr>
          <w:rFonts w:asciiTheme="minorHAnsi" w:hAnsiTheme="minorHAnsi" w:cstheme="minorHAnsi"/>
          <w:color w:val="000000"/>
          <w:sz w:val="18"/>
          <w:szCs w:val="18"/>
          <w:lang w:eastAsia="pt-BR"/>
        </w:rPr>
      </w:pPr>
      <w:r w:rsidRPr="004064A2">
        <w:rPr>
          <w:rFonts w:asciiTheme="minorHAnsi" w:hAnsiTheme="minorHAnsi" w:cstheme="minorHAnsi"/>
          <w:b/>
          <w:bCs/>
          <w:color w:val="000000"/>
          <w:sz w:val="18"/>
          <w:szCs w:val="18"/>
          <w:lang w:eastAsia="pt-BR"/>
        </w:rPr>
        <w:t>(d) Compras decorrentes de Ação Judicial: CAP obrigatório</w:t>
      </w:r>
      <w:r w:rsidR="009700E1" w:rsidRPr="004064A2">
        <w:rPr>
          <w:rFonts w:asciiTheme="minorHAnsi" w:hAnsiTheme="minorHAnsi" w:cstheme="minorHAnsi"/>
          <w:b/>
          <w:bCs/>
          <w:color w:val="000000"/>
          <w:sz w:val="18"/>
          <w:szCs w:val="18"/>
          <w:lang w:eastAsia="pt-BR"/>
        </w:rPr>
        <w:t xml:space="preserve"> - </w:t>
      </w:r>
      <w:r w:rsidRPr="004064A2">
        <w:rPr>
          <w:rFonts w:asciiTheme="minorHAnsi" w:hAnsiTheme="minorHAnsi" w:cstheme="minorHAnsi"/>
          <w:color w:val="000000"/>
          <w:sz w:val="18"/>
          <w:szCs w:val="18"/>
          <w:lang w:eastAsia="pt-BR"/>
        </w:rPr>
        <w:t xml:space="preserve">Para os produtos oriundos de decisão judicial, aplica-se o percentual de CAP vigente, conforme determina o § 2º do Art. 5º da Resolução CMED nº 04/2006. Conforme descrito no endereço http://www.anvisa.gov.br/divulga/noticias/2009/030609_1.htm, no caso “de produtos excepcionais, de alto custo, </w:t>
      </w:r>
      <w:r w:rsidRPr="004064A2">
        <w:rPr>
          <w:rFonts w:asciiTheme="minorHAnsi" w:hAnsiTheme="minorHAnsi" w:cstheme="minorHAnsi"/>
          <w:b/>
          <w:bCs/>
          <w:color w:val="000000"/>
          <w:sz w:val="18"/>
          <w:szCs w:val="18"/>
          <w:lang w:eastAsia="pt-BR"/>
        </w:rPr>
        <w:t>ou qualquer medicamento adquirido por força de decisão judicial, foi estabelecido como teto o Preço Máximo de Venda ao Governo (PMVG)</w:t>
      </w:r>
      <w:r w:rsidRPr="004064A2">
        <w:rPr>
          <w:rFonts w:asciiTheme="minorHAnsi" w:hAnsiTheme="minorHAnsi" w:cstheme="minorHAnsi"/>
          <w:color w:val="000000"/>
          <w:sz w:val="18"/>
          <w:szCs w:val="18"/>
          <w:lang w:eastAsia="pt-BR"/>
        </w:rPr>
        <w:t xml:space="preserve">”. </w:t>
      </w:r>
    </w:p>
    <w:p w:rsidR="00AF616F" w:rsidRPr="004064A2" w:rsidRDefault="00AF616F" w:rsidP="00733700">
      <w:pPr>
        <w:autoSpaceDE w:val="0"/>
        <w:autoSpaceDN w:val="0"/>
        <w:adjustRightInd w:val="0"/>
        <w:spacing w:after="0" w:line="360" w:lineRule="auto"/>
        <w:ind w:left="2835"/>
        <w:jc w:val="both"/>
        <w:rPr>
          <w:rFonts w:asciiTheme="minorHAnsi" w:hAnsiTheme="minorHAnsi" w:cstheme="minorHAnsi"/>
          <w:color w:val="000000"/>
          <w:sz w:val="18"/>
          <w:szCs w:val="18"/>
          <w:lang w:eastAsia="pt-BR"/>
        </w:rPr>
      </w:pPr>
      <w:r w:rsidRPr="004064A2">
        <w:rPr>
          <w:rFonts w:asciiTheme="minorHAnsi" w:hAnsiTheme="minorHAnsi" w:cstheme="minorHAnsi"/>
          <w:color w:val="000000"/>
          <w:sz w:val="18"/>
          <w:szCs w:val="18"/>
          <w:lang w:eastAsia="pt-BR"/>
        </w:rPr>
        <w:t xml:space="preserve">Recentemente, o Tribunal Regional Federal concedeu liminar pedida pelo Ministério Público Federal e determinou que 14 laboratórios farmacêuticos </w:t>
      </w:r>
      <w:proofErr w:type="gramStart"/>
      <w:r w:rsidRPr="004064A2">
        <w:rPr>
          <w:rFonts w:asciiTheme="minorHAnsi" w:hAnsiTheme="minorHAnsi" w:cstheme="minorHAnsi"/>
          <w:color w:val="000000"/>
          <w:sz w:val="18"/>
          <w:szCs w:val="18"/>
          <w:lang w:eastAsia="pt-BR"/>
        </w:rPr>
        <w:t>cumpram</w:t>
      </w:r>
      <w:proofErr w:type="gramEnd"/>
      <w:r w:rsidRPr="004064A2">
        <w:rPr>
          <w:rFonts w:asciiTheme="minorHAnsi" w:hAnsiTheme="minorHAnsi" w:cstheme="minorHAnsi"/>
          <w:color w:val="000000"/>
          <w:sz w:val="18"/>
          <w:szCs w:val="18"/>
          <w:lang w:eastAsia="pt-BR"/>
        </w:rPr>
        <w:t xml:space="preserve"> a obrigação de vender medicamentos à administração pública seguindo desconto CAP. </w:t>
      </w:r>
    </w:p>
    <w:p w:rsidR="00AF616F" w:rsidRPr="004064A2" w:rsidRDefault="00AF616F" w:rsidP="00733700">
      <w:pPr>
        <w:autoSpaceDE w:val="0"/>
        <w:autoSpaceDN w:val="0"/>
        <w:adjustRightInd w:val="0"/>
        <w:spacing w:after="0" w:line="360" w:lineRule="auto"/>
        <w:ind w:left="2835"/>
        <w:jc w:val="both"/>
        <w:rPr>
          <w:rFonts w:asciiTheme="minorHAnsi" w:hAnsiTheme="minorHAnsi" w:cstheme="minorHAnsi"/>
          <w:color w:val="000000"/>
          <w:sz w:val="18"/>
          <w:szCs w:val="18"/>
          <w:lang w:eastAsia="pt-BR"/>
        </w:rPr>
      </w:pPr>
      <w:r w:rsidRPr="004064A2">
        <w:rPr>
          <w:rFonts w:asciiTheme="minorHAnsi" w:hAnsiTheme="minorHAnsi" w:cstheme="minorHAnsi"/>
          <w:color w:val="000000"/>
          <w:sz w:val="18"/>
          <w:szCs w:val="18"/>
          <w:lang w:eastAsia="pt-BR"/>
        </w:rPr>
        <w:t>A ação foi proposta pelo MPF, em setembro de 2011, após a constatação de que as regras da CMED estavam sendo desobedecidas na Secretaria Estadual de Saúde de São Paulo. As empresas fornecedoras não respondiam às solicitações para a compr</w:t>
      </w:r>
      <w:r w:rsidR="00D3201C" w:rsidRPr="004064A2">
        <w:rPr>
          <w:rFonts w:asciiTheme="minorHAnsi" w:hAnsiTheme="minorHAnsi" w:cstheme="minorHAnsi"/>
          <w:color w:val="000000"/>
          <w:sz w:val="18"/>
          <w:szCs w:val="18"/>
          <w:lang w:eastAsia="pt-BR"/>
        </w:rPr>
        <w:t>a de medicamento com desconto.</w:t>
      </w:r>
    </w:p>
    <w:p w:rsidR="00E02E11" w:rsidRPr="004064A2" w:rsidRDefault="00AF616F" w:rsidP="00733700">
      <w:pPr>
        <w:pStyle w:val="SemEspaamento"/>
        <w:spacing w:line="360" w:lineRule="auto"/>
        <w:ind w:left="2835"/>
        <w:jc w:val="both"/>
        <w:rPr>
          <w:rFonts w:asciiTheme="minorHAnsi" w:hAnsiTheme="minorHAnsi" w:cstheme="minorHAnsi"/>
          <w:color w:val="000000"/>
          <w:sz w:val="18"/>
          <w:szCs w:val="18"/>
          <w:lang w:eastAsia="pt-BR"/>
        </w:rPr>
      </w:pPr>
      <w:r w:rsidRPr="004064A2">
        <w:rPr>
          <w:rFonts w:asciiTheme="minorHAnsi" w:hAnsiTheme="minorHAnsi" w:cstheme="minorHAnsi"/>
          <w:color w:val="000000"/>
          <w:sz w:val="18"/>
          <w:szCs w:val="18"/>
          <w:lang w:eastAsia="pt-BR"/>
        </w:rPr>
        <w:t xml:space="preserve">Para </w:t>
      </w:r>
      <w:r w:rsidRPr="004064A2">
        <w:rPr>
          <w:rFonts w:asciiTheme="minorHAnsi" w:hAnsiTheme="minorHAnsi" w:cstheme="minorHAnsi"/>
          <w:b/>
          <w:bCs/>
          <w:color w:val="000000"/>
          <w:sz w:val="18"/>
          <w:szCs w:val="18"/>
          <w:lang w:eastAsia="pt-BR"/>
        </w:rPr>
        <w:t>consultar os preços-limite</w:t>
      </w:r>
      <w:r w:rsidRPr="004064A2">
        <w:rPr>
          <w:rFonts w:asciiTheme="minorHAnsi" w:hAnsiTheme="minorHAnsi" w:cstheme="minorHAnsi"/>
          <w:color w:val="000000"/>
          <w:sz w:val="18"/>
          <w:szCs w:val="18"/>
          <w:lang w:eastAsia="pt-BR"/>
        </w:rPr>
        <w:t xml:space="preserve">, existem planilhas disponíveis no site da ANVISA. Basta procurar por “Listas de Preços de Medicamentos”. Há duas planilhas: “Preço Fábrica”, para produtos associados, com dois ou mais componentes e “Compras </w:t>
      </w:r>
      <w:r w:rsidRPr="004064A2">
        <w:rPr>
          <w:rFonts w:asciiTheme="minorHAnsi" w:hAnsiTheme="minorHAnsi" w:cstheme="minorHAnsi"/>
          <w:color w:val="000000"/>
          <w:sz w:val="18"/>
          <w:szCs w:val="18"/>
          <w:lang w:eastAsia="pt-BR"/>
        </w:rPr>
        <w:lastRenderedPageBreak/>
        <w:t xml:space="preserve">Públicas”, para produtos de componente único. A dificuldade está na definição do preço unitário. É preciso calcular </w:t>
      </w:r>
      <w:proofErr w:type="spellStart"/>
      <w:r w:rsidRPr="004064A2">
        <w:rPr>
          <w:rFonts w:asciiTheme="minorHAnsi" w:hAnsiTheme="minorHAnsi" w:cstheme="minorHAnsi"/>
          <w:color w:val="000000"/>
          <w:sz w:val="18"/>
          <w:szCs w:val="18"/>
          <w:lang w:eastAsia="pt-BR"/>
        </w:rPr>
        <w:t>invidualmente</w:t>
      </w:r>
      <w:proofErr w:type="spellEnd"/>
      <w:r w:rsidRPr="004064A2">
        <w:rPr>
          <w:rFonts w:asciiTheme="minorHAnsi" w:hAnsiTheme="minorHAnsi" w:cstheme="minorHAnsi"/>
          <w:color w:val="000000"/>
          <w:sz w:val="18"/>
          <w:szCs w:val="18"/>
          <w:lang w:eastAsia="pt-BR"/>
        </w:rPr>
        <w:t xml:space="preserve"> para cada produto, conforme sua marca e apresentação, pois os preços unitários da planilha são para a embalagem completa. Por exemplo: produtos em </w:t>
      </w:r>
      <w:proofErr w:type="spellStart"/>
      <w:r w:rsidRPr="004064A2">
        <w:rPr>
          <w:rFonts w:asciiTheme="minorHAnsi" w:hAnsiTheme="minorHAnsi" w:cstheme="minorHAnsi"/>
          <w:color w:val="000000"/>
          <w:sz w:val="18"/>
          <w:szCs w:val="18"/>
          <w:lang w:eastAsia="pt-BR"/>
        </w:rPr>
        <w:t>blister</w:t>
      </w:r>
      <w:proofErr w:type="spellEnd"/>
      <w:r w:rsidRPr="004064A2">
        <w:rPr>
          <w:rFonts w:asciiTheme="minorHAnsi" w:hAnsiTheme="minorHAnsi" w:cstheme="minorHAnsi"/>
          <w:color w:val="000000"/>
          <w:sz w:val="18"/>
          <w:szCs w:val="18"/>
          <w:lang w:eastAsia="pt-BR"/>
        </w:rPr>
        <w:t xml:space="preserve"> com 10 comprimidos precisam ter seu preço dividido por 10 para obter o verdadeiro preço-limite-unitário por comprimido.</w:t>
      </w:r>
      <w:r w:rsidR="00670EE6" w:rsidRPr="004064A2">
        <w:rPr>
          <w:rFonts w:asciiTheme="minorHAnsi" w:hAnsiTheme="minorHAnsi" w:cstheme="minorHAnsi"/>
          <w:color w:val="000000"/>
          <w:sz w:val="18"/>
          <w:szCs w:val="18"/>
          <w:lang w:eastAsia="pt-BR"/>
        </w:rPr>
        <w:t xml:space="preserve"> </w:t>
      </w:r>
      <w:r w:rsidR="00E02E11" w:rsidRPr="004064A2">
        <w:rPr>
          <w:rFonts w:asciiTheme="minorHAnsi" w:hAnsiTheme="minorHAnsi" w:cstheme="minorHAnsi"/>
          <w:color w:val="000000"/>
          <w:sz w:val="18"/>
          <w:szCs w:val="18"/>
          <w:lang w:eastAsia="pt-BR"/>
        </w:rPr>
        <w:t>(Grifos no original)</w:t>
      </w:r>
    </w:p>
    <w:p w:rsidR="00E02E11" w:rsidRPr="00733700" w:rsidRDefault="00E02E11" w:rsidP="00733700">
      <w:pPr>
        <w:pStyle w:val="SemEspaamento"/>
        <w:spacing w:line="360" w:lineRule="auto"/>
        <w:ind w:firstLine="708"/>
        <w:jc w:val="both"/>
        <w:rPr>
          <w:rFonts w:asciiTheme="minorHAnsi" w:hAnsiTheme="minorHAnsi" w:cstheme="minorHAnsi"/>
        </w:rPr>
      </w:pPr>
      <w:r w:rsidRPr="00733700">
        <w:rPr>
          <w:rFonts w:asciiTheme="minorHAnsi" w:hAnsiTheme="minorHAnsi" w:cstheme="minorHAnsi"/>
          <w:b/>
        </w:rPr>
        <w:t>III. INFORMAÇÕES SOBRE OS PROCEDIMENTOS LICITATÓRIOS</w:t>
      </w:r>
      <w:r w:rsidRPr="00733700">
        <w:rPr>
          <w:rFonts w:asciiTheme="minorHAnsi" w:hAnsiTheme="minorHAnsi" w:cstheme="minorHAnsi"/>
        </w:rPr>
        <w:t xml:space="preserve">. </w:t>
      </w:r>
      <w:r w:rsidR="000F1062" w:rsidRPr="00733700">
        <w:rPr>
          <w:rFonts w:asciiTheme="minorHAnsi" w:hAnsiTheme="minorHAnsi" w:cstheme="minorHAnsi"/>
        </w:rPr>
        <w:t>A adoção da via excepcional ao procedimento licitatório, dentre as quais consta a dispensa de licitação, consubstanciada no art. 24, inciso IV, da Lei nº 8.666/93, prescinde de robusta motivação no afastamento da via ordinária, que é o dever da Administração Pública de licitar.</w:t>
      </w:r>
    </w:p>
    <w:p w:rsidR="000F1062" w:rsidRPr="00733700" w:rsidRDefault="000F1062" w:rsidP="00733700">
      <w:pPr>
        <w:pStyle w:val="SemEspaamento"/>
        <w:spacing w:line="360" w:lineRule="auto"/>
        <w:ind w:firstLine="708"/>
        <w:jc w:val="both"/>
        <w:rPr>
          <w:rFonts w:asciiTheme="minorHAnsi" w:hAnsiTheme="minorHAnsi" w:cstheme="minorHAnsi"/>
        </w:rPr>
      </w:pPr>
      <w:r w:rsidRPr="00733700">
        <w:rPr>
          <w:rFonts w:asciiTheme="minorHAnsi" w:hAnsiTheme="minorHAnsi" w:cstheme="minorHAnsi"/>
        </w:rPr>
        <w:t xml:space="preserve">No caso em apreço, a inicial faz alusão a procedimentos licitatórios não finalizados: </w:t>
      </w:r>
      <w:r w:rsidRPr="00733700">
        <w:rPr>
          <w:rFonts w:asciiTheme="minorHAnsi" w:hAnsiTheme="minorHAnsi" w:cstheme="minorHAnsi"/>
          <w:b/>
        </w:rPr>
        <w:t>10656/2015</w:t>
      </w:r>
      <w:r w:rsidRPr="00733700">
        <w:rPr>
          <w:rFonts w:asciiTheme="minorHAnsi" w:hAnsiTheme="minorHAnsi" w:cstheme="minorHAnsi"/>
        </w:rPr>
        <w:t xml:space="preserve">, </w:t>
      </w:r>
      <w:r w:rsidRPr="00733700">
        <w:rPr>
          <w:rFonts w:asciiTheme="minorHAnsi" w:hAnsiTheme="minorHAnsi" w:cstheme="minorHAnsi"/>
          <w:b/>
        </w:rPr>
        <w:t>1133/2016</w:t>
      </w:r>
      <w:r w:rsidRPr="00733700">
        <w:rPr>
          <w:rFonts w:asciiTheme="minorHAnsi" w:hAnsiTheme="minorHAnsi" w:cstheme="minorHAnsi"/>
        </w:rPr>
        <w:t xml:space="preserve">, </w:t>
      </w:r>
      <w:r w:rsidRPr="00733700">
        <w:rPr>
          <w:rFonts w:asciiTheme="minorHAnsi" w:hAnsiTheme="minorHAnsi" w:cstheme="minorHAnsi"/>
          <w:b/>
        </w:rPr>
        <w:t>12496/2015</w:t>
      </w:r>
      <w:r w:rsidRPr="00733700">
        <w:rPr>
          <w:rFonts w:asciiTheme="minorHAnsi" w:hAnsiTheme="minorHAnsi" w:cstheme="minorHAnsi"/>
        </w:rPr>
        <w:t xml:space="preserve">, </w:t>
      </w:r>
      <w:r w:rsidRPr="00733700">
        <w:rPr>
          <w:rFonts w:asciiTheme="minorHAnsi" w:hAnsiTheme="minorHAnsi" w:cstheme="minorHAnsi"/>
          <w:b/>
        </w:rPr>
        <w:t>12894/2015</w:t>
      </w:r>
      <w:r w:rsidRPr="00733700">
        <w:rPr>
          <w:rFonts w:asciiTheme="minorHAnsi" w:hAnsiTheme="minorHAnsi" w:cstheme="minorHAnsi"/>
        </w:rPr>
        <w:t xml:space="preserve">, </w:t>
      </w:r>
      <w:r w:rsidRPr="00733700">
        <w:rPr>
          <w:rFonts w:asciiTheme="minorHAnsi" w:hAnsiTheme="minorHAnsi" w:cstheme="minorHAnsi"/>
          <w:b/>
        </w:rPr>
        <w:t>12901/2015</w:t>
      </w:r>
      <w:r w:rsidRPr="00733700">
        <w:rPr>
          <w:rFonts w:asciiTheme="minorHAnsi" w:hAnsiTheme="minorHAnsi" w:cstheme="minorHAnsi"/>
        </w:rPr>
        <w:t xml:space="preserve">, </w:t>
      </w:r>
      <w:r w:rsidRPr="00733700">
        <w:rPr>
          <w:rFonts w:asciiTheme="minorHAnsi" w:hAnsiTheme="minorHAnsi" w:cstheme="minorHAnsi"/>
          <w:b/>
        </w:rPr>
        <w:t>12923/2015</w:t>
      </w:r>
      <w:r w:rsidRPr="00733700">
        <w:rPr>
          <w:rFonts w:asciiTheme="minorHAnsi" w:hAnsiTheme="minorHAnsi" w:cstheme="minorHAnsi"/>
        </w:rPr>
        <w:t xml:space="preserve">, </w:t>
      </w:r>
      <w:r w:rsidRPr="00733700">
        <w:rPr>
          <w:rFonts w:asciiTheme="minorHAnsi" w:hAnsiTheme="minorHAnsi" w:cstheme="minorHAnsi"/>
          <w:b/>
        </w:rPr>
        <w:t>12925/2015</w:t>
      </w:r>
      <w:r w:rsidRPr="00733700">
        <w:rPr>
          <w:rFonts w:asciiTheme="minorHAnsi" w:hAnsiTheme="minorHAnsi" w:cstheme="minorHAnsi"/>
        </w:rPr>
        <w:t xml:space="preserve">, </w:t>
      </w:r>
      <w:r w:rsidRPr="00733700">
        <w:rPr>
          <w:rFonts w:asciiTheme="minorHAnsi" w:hAnsiTheme="minorHAnsi" w:cstheme="minorHAnsi"/>
          <w:b/>
        </w:rPr>
        <w:t>12954/2015</w:t>
      </w:r>
      <w:r w:rsidRPr="00733700">
        <w:rPr>
          <w:rFonts w:asciiTheme="minorHAnsi" w:hAnsiTheme="minorHAnsi" w:cstheme="minorHAnsi"/>
        </w:rPr>
        <w:t xml:space="preserve">, </w:t>
      </w:r>
      <w:r w:rsidRPr="00733700">
        <w:rPr>
          <w:rFonts w:asciiTheme="minorHAnsi" w:hAnsiTheme="minorHAnsi" w:cstheme="minorHAnsi"/>
          <w:b/>
        </w:rPr>
        <w:t>13292/2015</w:t>
      </w:r>
      <w:r w:rsidRPr="00733700">
        <w:rPr>
          <w:rFonts w:asciiTheme="minorHAnsi" w:hAnsiTheme="minorHAnsi" w:cstheme="minorHAnsi"/>
        </w:rPr>
        <w:t xml:space="preserve">, </w:t>
      </w:r>
      <w:r w:rsidRPr="00733700">
        <w:rPr>
          <w:rFonts w:asciiTheme="minorHAnsi" w:hAnsiTheme="minorHAnsi" w:cstheme="minorHAnsi"/>
          <w:b/>
        </w:rPr>
        <w:t>13723/2015</w:t>
      </w:r>
      <w:r w:rsidRPr="00733700">
        <w:rPr>
          <w:rFonts w:asciiTheme="minorHAnsi" w:hAnsiTheme="minorHAnsi" w:cstheme="minorHAnsi"/>
        </w:rPr>
        <w:t xml:space="preserve">, </w:t>
      </w:r>
      <w:r w:rsidRPr="00733700">
        <w:rPr>
          <w:rFonts w:asciiTheme="minorHAnsi" w:hAnsiTheme="minorHAnsi" w:cstheme="minorHAnsi"/>
          <w:b/>
        </w:rPr>
        <w:t>9154/2016</w:t>
      </w:r>
      <w:r w:rsidRPr="00733700">
        <w:rPr>
          <w:rFonts w:asciiTheme="minorHAnsi" w:hAnsiTheme="minorHAnsi" w:cstheme="minorHAnsi"/>
        </w:rPr>
        <w:t xml:space="preserve">, </w:t>
      </w:r>
      <w:r w:rsidRPr="00733700">
        <w:rPr>
          <w:rFonts w:asciiTheme="minorHAnsi" w:hAnsiTheme="minorHAnsi" w:cstheme="minorHAnsi"/>
          <w:b/>
        </w:rPr>
        <w:t>14368/2015</w:t>
      </w:r>
      <w:r w:rsidRPr="00733700">
        <w:rPr>
          <w:rFonts w:asciiTheme="minorHAnsi" w:hAnsiTheme="minorHAnsi" w:cstheme="minorHAnsi"/>
        </w:rPr>
        <w:t xml:space="preserve">, </w:t>
      </w:r>
      <w:r w:rsidRPr="00733700">
        <w:rPr>
          <w:rFonts w:asciiTheme="minorHAnsi" w:hAnsiTheme="minorHAnsi" w:cstheme="minorHAnsi"/>
          <w:b/>
        </w:rPr>
        <w:t>12929/2015</w:t>
      </w:r>
      <w:r w:rsidRPr="00733700">
        <w:rPr>
          <w:rFonts w:asciiTheme="minorHAnsi" w:hAnsiTheme="minorHAnsi" w:cstheme="minorHAnsi"/>
        </w:rPr>
        <w:t xml:space="preserve">, </w:t>
      </w:r>
      <w:r w:rsidRPr="00733700">
        <w:rPr>
          <w:rFonts w:asciiTheme="minorHAnsi" w:hAnsiTheme="minorHAnsi" w:cstheme="minorHAnsi"/>
          <w:b/>
        </w:rPr>
        <w:t>14116/2015</w:t>
      </w:r>
      <w:r w:rsidRPr="00733700">
        <w:rPr>
          <w:rFonts w:asciiTheme="minorHAnsi" w:hAnsiTheme="minorHAnsi" w:cstheme="minorHAnsi"/>
        </w:rPr>
        <w:t xml:space="preserve">, </w:t>
      </w:r>
      <w:r w:rsidRPr="00733700">
        <w:rPr>
          <w:rFonts w:asciiTheme="minorHAnsi" w:hAnsiTheme="minorHAnsi" w:cstheme="minorHAnsi"/>
          <w:b/>
        </w:rPr>
        <w:t>12952/2015</w:t>
      </w:r>
      <w:r w:rsidRPr="00733700">
        <w:rPr>
          <w:rFonts w:asciiTheme="minorHAnsi" w:hAnsiTheme="minorHAnsi" w:cstheme="minorHAnsi"/>
        </w:rPr>
        <w:t xml:space="preserve"> e </w:t>
      </w:r>
      <w:r w:rsidRPr="00733700">
        <w:rPr>
          <w:rFonts w:asciiTheme="minorHAnsi" w:hAnsiTheme="minorHAnsi" w:cstheme="minorHAnsi"/>
          <w:b/>
        </w:rPr>
        <w:t>12924/2015</w:t>
      </w:r>
      <w:r w:rsidRPr="00733700">
        <w:rPr>
          <w:rFonts w:asciiTheme="minorHAnsi" w:hAnsiTheme="minorHAnsi" w:cstheme="minorHAnsi"/>
        </w:rPr>
        <w:t>. Alerta, ainda, que as contratações realizadas pelos órgãos e entidades que integram o Poder Executivo Estadual serão objetos de licitações processadas pela Agência de Modernização da Gestão de Processos – AMGESP, de modo que a</w:t>
      </w:r>
      <w:r w:rsidR="00F85A36" w:rsidRPr="00733700">
        <w:rPr>
          <w:rFonts w:asciiTheme="minorHAnsi" w:hAnsiTheme="minorHAnsi" w:cstheme="minorHAnsi"/>
        </w:rPr>
        <w:t>penas a</w:t>
      </w:r>
      <w:r w:rsidRPr="00733700">
        <w:rPr>
          <w:rFonts w:asciiTheme="minorHAnsi" w:hAnsiTheme="minorHAnsi" w:cstheme="minorHAnsi"/>
        </w:rPr>
        <w:t xml:space="preserve"> referida autarquia possui competência exclusiva para a realização dos certames, podendo realizar delegações quando julgar cabível.</w:t>
      </w:r>
    </w:p>
    <w:p w:rsidR="00F85A36" w:rsidRPr="005831D6" w:rsidRDefault="00F85A36" w:rsidP="00733700">
      <w:pPr>
        <w:pStyle w:val="SemEspaamento"/>
        <w:spacing w:line="360" w:lineRule="auto"/>
        <w:ind w:firstLine="708"/>
        <w:jc w:val="both"/>
        <w:rPr>
          <w:rFonts w:asciiTheme="minorHAnsi" w:hAnsiTheme="minorHAnsi" w:cstheme="minorHAnsi"/>
          <w:color w:val="FF0000"/>
          <w:u w:val="single"/>
        </w:rPr>
      </w:pPr>
      <w:r w:rsidRPr="00733700">
        <w:rPr>
          <w:rFonts w:asciiTheme="minorHAnsi" w:hAnsiTheme="minorHAnsi" w:cstheme="minorHAnsi"/>
        </w:rPr>
        <w:t xml:space="preserve">Considerando o argumento invocado pela Supervisora de Logística, Sra. Kelly Mary Viana dos Santos, no que diz respeito à demora no processamento das licitações pela AMGESP e o decorrente desabastecimento das unidades, </w:t>
      </w:r>
      <w:r w:rsidRPr="00733700">
        <w:rPr>
          <w:rFonts w:asciiTheme="minorHAnsi" w:hAnsiTheme="minorHAnsi" w:cstheme="minorHAnsi"/>
          <w:b/>
        </w:rPr>
        <w:t xml:space="preserve">urge que a referida autarquia se manifeste sobre a realização dos procedimentos licitatórios suscitados, indicando as razões para a não conclusão dos procedimentos em tempo hábil, haja vista que, conforme </w:t>
      </w:r>
      <w:r w:rsidRPr="005831D6">
        <w:rPr>
          <w:rFonts w:asciiTheme="minorHAnsi" w:hAnsiTheme="minorHAnsi" w:cstheme="minorHAnsi"/>
        </w:rPr>
        <w:t>declaração de fl. 03, a demanda de medicamentos da UNCISAL fora encaminhada à AMGESP em 13/07/201</w:t>
      </w:r>
      <w:r w:rsidR="005831D6" w:rsidRPr="005831D6">
        <w:rPr>
          <w:rFonts w:asciiTheme="minorHAnsi" w:hAnsiTheme="minorHAnsi" w:cstheme="minorHAnsi"/>
        </w:rPr>
        <w:t>6</w:t>
      </w:r>
      <w:r w:rsidRPr="005831D6">
        <w:rPr>
          <w:rFonts w:asciiTheme="minorHAnsi" w:hAnsiTheme="minorHAnsi" w:cstheme="minorHAnsi"/>
        </w:rPr>
        <w:t>, ou seja, há mais de um ano.</w:t>
      </w:r>
    </w:p>
    <w:p w:rsidR="00693F05" w:rsidRPr="00733700" w:rsidRDefault="00693F05" w:rsidP="00733700">
      <w:pPr>
        <w:spacing w:after="0" w:line="360" w:lineRule="auto"/>
        <w:ind w:firstLine="709"/>
        <w:jc w:val="both"/>
        <w:rPr>
          <w:rFonts w:asciiTheme="minorHAnsi" w:hAnsiTheme="minorHAnsi" w:cstheme="minorHAnsi"/>
        </w:rPr>
      </w:pPr>
      <w:r w:rsidRPr="00733700">
        <w:rPr>
          <w:rFonts w:asciiTheme="minorHAnsi" w:hAnsiTheme="minorHAnsi" w:cstheme="minorHAnsi"/>
        </w:rPr>
        <w:t xml:space="preserve">De toda a explanação e detalhamento processual, </w:t>
      </w:r>
      <w:r w:rsidR="00670EE6" w:rsidRPr="00733700">
        <w:rPr>
          <w:rFonts w:asciiTheme="minorHAnsi" w:hAnsiTheme="minorHAnsi" w:cstheme="minorHAnsi"/>
        </w:rPr>
        <w:t>alertem-se</w:t>
      </w:r>
      <w:r w:rsidRPr="00733700">
        <w:rPr>
          <w:rFonts w:asciiTheme="minorHAnsi" w:hAnsiTheme="minorHAnsi" w:cstheme="minorHAnsi"/>
        </w:rPr>
        <w:t xml:space="preserve"> para a necessidade de </w:t>
      </w:r>
      <w:r w:rsidR="00A811DA" w:rsidRPr="00733700">
        <w:rPr>
          <w:rFonts w:asciiTheme="minorHAnsi" w:hAnsiTheme="minorHAnsi" w:cstheme="minorHAnsi"/>
        </w:rPr>
        <w:t>informações</w:t>
      </w:r>
      <w:r w:rsidRPr="00733700">
        <w:rPr>
          <w:rFonts w:asciiTheme="minorHAnsi" w:hAnsiTheme="minorHAnsi" w:cstheme="minorHAnsi"/>
        </w:rPr>
        <w:t>, quais sejam:</w:t>
      </w:r>
    </w:p>
    <w:p w:rsidR="00856C54" w:rsidRPr="00733700" w:rsidRDefault="00F85A36" w:rsidP="00733700">
      <w:pPr>
        <w:pStyle w:val="PargrafodaLista"/>
        <w:spacing w:before="0" w:after="0" w:line="360" w:lineRule="auto"/>
        <w:ind w:left="709"/>
        <w:rPr>
          <w:rFonts w:asciiTheme="minorHAnsi" w:hAnsiTheme="minorHAnsi" w:cstheme="minorHAnsi"/>
        </w:rPr>
      </w:pPr>
      <w:r w:rsidRPr="00733700">
        <w:rPr>
          <w:rFonts w:asciiTheme="minorHAnsi" w:hAnsiTheme="minorHAnsi" w:cstheme="minorHAnsi"/>
          <w:b/>
        </w:rPr>
        <w:t xml:space="preserve">A. </w:t>
      </w:r>
      <w:r w:rsidR="00856C54" w:rsidRPr="00733700">
        <w:rPr>
          <w:rFonts w:asciiTheme="minorHAnsi" w:hAnsiTheme="minorHAnsi" w:cstheme="minorHAnsi"/>
          <w:b/>
          <w:u w:val="single"/>
        </w:rPr>
        <w:t>MANIFESTAÇÃO JURÍDICA DA PGE</w:t>
      </w:r>
      <w:r w:rsidR="00856C54" w:rsidRPr="00733700">
        <w:rPr>
          <w:rFonts w:asciiTheme="minorHAnsi" w:hAnsiTheme="minorHAnsi" w:cstheme="minorHAnsi"/>
          <w:b/>
        </w:rPr>
        <w:t xml:space="preserve"> </w:t>
      </w:r>
      <w:r w:rsidR="00856C54" w:rsidRPr="00733700">
        <w:rPr>
          <w:rFonts w:asciiTheme="minorHAnsi" w:hAnsiTheme="minorHAnsi" w:cstheme="minorHAnsi"/>
        </w:rPr>
        <w:t xml:space="preserve">– Considerando a </w:t>
      </w:r>
      <w:r w:rsidRPr="00733700">
        <w:rPr>
          <w:rFonts w:asciiTheme="minorHAnsi" w:hAnsiTheme="minorHAnsi" w:cstheme="minorHAnsi"/>
        </w:rPr>
        <w:t xml:space="preserve">adoção da via excepcional de licitação, qual seja a dispensa de licitação fundamentada no art. 24, inciso IV, da Lei nº 8.666/93, </w:t>
      </w:r>
      <w:r w:rsidR="00856C54" w:rsidRPr="00733700">
        <w:rPr>
          <w:rFonts w:asciiTheme="minorHAnsi" w:hAnsiTheme="minorHAnsi" w:cstheme="minorHAnsi"/>
        </w:rPr>
        <w:t xml:space="preserve">resta necessário que o processo evolua à Procuradoria Geral do Estado – PGE/AL, </w:t>
      </w:r>
      <w:r w:rsidRPr="00733700">
        <w:rPr>
          <w:rFonts w:asciiTheme="minorHAnsi" w:hAnsiTheme="minorHAnsi" w:cstheme="minorHAnsi"/>
        </w:rPr>
        <w:t>para pronunciamento acerca dos efeitos do processamento das despesas públicas em tela sem a devida observância do dever de licitar</w:t>
      </w:r>
      <w:r w:rsidR="00C4326E" w:rsidRPr="00733700">
        <w:rPr>
          <w:rFonts w:asciiTheme="minorHAnsi" w:hAnsiTheme="minorHAnsi" w:cstheme="minorHAnsi"/>
        </w:rPr>
        <w:t>.</w:t>
      </w:r>
    </w:p>
    <w:p w:rsidR="000B5241" w:rsidRPr="00733700" w:rsidRDefault="000B5241" w:rsidP="00733700">
      <w:pPr>
        <w:pStyle w:val="PargrafodaLista"/>
        <w:spacing w:before="0" w:after="0" w:line="360" w:lineRule="auto"/>
        <w:ind w:left="709"/>
        <w:rPr>
          <w:rFonts w:asciiTheme="minorHAnsi" w:hAnsiTheme="minorHAnsi" w:cstheme="minorHAnsi"/>
        </w:rPr>
      </w:pPr>
      <w:r w:rsidRPr="00733700">
        <w:rPr>
          <w:rFonts w:asciiTheme="minorHAnsi" w:hAnsiTheme="minorHAnsi" w:cstheme="minorHAnsi"/>
          <w:b/>
        </w:rPr>
        <w:t xml:space="preserve">B. </w:t>
      </w:r>
      <w:r w:rsidRPr="00733700">
        <w:rPr>
          <w:rFonts w:asciiTheme="minorHAnsi" w:hAnsiTheme="minorHAnsi" w:cstheme="minorHAnsi"/>
          <w:b/>
          <w:u w:val="single"/>
        </w:rPr>
        <w:t>MANIFESTAÇÃO DA AMGESP</w:t>
      </w:r>
      <w:r w:rsidRPr="00733700">
        <w:rPr>
          <w:rFonts w:asciiTheme="minorHAnsi" w:hAnsiTheme="minorHAnsi" w:cstheme="minorHAnsi"/>
          <w:b/>
        </w:rPr>
        <w:t xml:space="preserve"> </w:t>
      </w:r>
      <w:r w:rsidRPr="00733700">
        <w:rPr>
          <w:rFonts w:asciiTheme="minorHAnsi" w:hAnsiTheme="minorHAnsi" w:cstheme="minorHAnsi"/>
        </w:rPr>
        <w:t>– Em face dos argumentos apresentados no Item III, resta necessário que a AMGESP se manifeste sobre a realização dos procedimentos licitatórios suscitados, indicando as razões para a não conclusão dos procedimentos em tempo hábil</w:t>
      </w:r>
      <w:r w:rsidR="006544F9" w:rsidRPr="00733700">
        <w:rPr>
          <w:rFonts w:asciiTheme="minorHAnsi" w:hAnsiTheme="minorHAnsi" w:cstheme="minorHAnsi"/>
        </w:rPr>
        <w:t>.</w:t>
      </w:r>
    </w:p>
    <w:p w:rsidR="00FB2B80" w:rsidRPr="00733700" w:rsidRDefault="006544F9" w:rsidP="00733700">
      <w:pPr>
        <w:pStyle w:val="PargrafodaLista"/>
        <w:suppressAutoHyphens/>
        <w:spacing w:before="0" w:after="0" w:line="360" w:lineRule="auto"/>
        <w:ind w:left="709"/>
        <w:rPr>
          <w:rFonts w:asciiTheme="minorHAnsi" w:hAnsiTheme="minorHAnsi" w:cstheme="minorHAnsi"/>
        </w:rPr>
      </w:pPr>
      <w:r w:rsidRPr="00733700">
        <w:rPr>
          <w:rFonts w:asciiTheme="minorHAnsi" w:hAnsiTheme="minorHAnsi" w:cstheme="minorHAnsi"/>
          <w:b/>
        </w:rPr>
        <w:lastRenderedPageBreak/>
        <w:t>C</w:t>
      </w:r>
      <w:r w:rsidR="00FB2B80" w:rsidRPr="00733700">
        <w:rPr>
          <w:rFonts w:asciiTheme="minorHAnsi" w:hAnsiTheme="minorHAnsi" w:cstheme="minorHAnsi"/>
          <w:b/>
        </w:rPr>
        <w:t xml:space="preserve">. </w:t>
      </w:r>
      <w:r w:rsidR="00C4326E" w:rsidRPr="00733700">
        <w:rPr>
          <w:rFonts w:asciiTheme="minorHAnsi" w:hAnsiTheme="minorHAnsi" w:cstheme="minorHAnsi"/>
          <w:b/>
          <w:u w:val="single"/>
        </w:rPr>
        <w:t>INCO</w:t>
      </w:r>
      <w:r w:rsidRPr="00733700">
        <w:rPr>
          <w:rFonts w:asciiTheme="minorHAnsi" w:hAnsiTheme="minorHAnsi" w:cstheme="minorHAnsi"/>
          <w:b/>
          <w:u w:val="single"/>
        </w:rPr>
        <w:t>N</w:t>
      </w:r>
      <w:r w:rsidR="00C4326E" w:rsidRPr="00733700">
        <w:rPr>
          <w:rFonts w:asciiTheme="minorHAnsi" w:hAnsiTheme="minorHAnsi" w:cstheme="minorHAnsi"/>
          <w:b/>
          <w:u w:val="single"/>
        </w:rPr>
        <w:t>FORMIDADES NA PESQUISA DE MERCADO</w:t>
      </w:r>
      <w:r w:rsidR="00FB2B80" w:rsidRPr="00733700">
        <w:rPr>
          <w:rFonts w:asciiTheme="minorHAnsi" w:hAnsiTheme="minorHAnsi" w:cstheme="minorHAnsi"/>
          <w:b/>
        </w:rPr>
        <w:t xml:space="preserve"> </w:t>
      </w:r>
      <w:r w:rsidR="00C4326E" w:rsidRPr="00733700">
        <w:rPr>
          <w:rFonts w:asciiTheme="minorHAnsi" w:hAnsiTheme="minorHAnsi" w:cstheme="minorHAnsi"/>
        </w:rPr>
        <w:t xml:space="preserve">– Em face dos argumentos apresentados no Item I, alíneas A, B e C, que </w:t>
      </w:r>
      <w:r w:rsidR="000B5241" w:rsidRPr="00733700">
        <w:rPr>
          <w:rFonts w:asciiTheme="minorHAnsi" w:hAnsiTheme="minorHAnsi" w:cstheme="minorHAnsi"/>
        </w:rPr>
        <w:t xml:space="preserve">o ente de origem </w:t>
      </w:r>
      <w:r w:rsidR="00C4326E" w:rsidRPr="00733700">
        <w:rPr>
          <w:rFonts w:asciiTheme="minorHAnsi" w:hAnsiTheme="minorHAnsi" w:cstheme="minorHAnsi"/>
        </w:rPr>
        <w:t>adot</w:t>
      </w:r>
      <w:r w:rsidR="000B5241" w:rsidRPr="00733700">
        <w:rPr>
          <w:rFonts w:asciiTheme="minorHAnsi" w:hAnsiTheme="minorHAnsi" w:cstheme="minorHAnsi"/>
        </w:rPr>
        <w:t>e</w:t>
      </w:r>
      <w:r w:rsidR="00C4326E" w:rsidRPr="00733700">
        <w:rPr>
          <w:rFonts w:asciiTheme="minorHAnsi" w:hAnsiTheme="minorHAnsi" w:cstheme="minorHAnsi"/>
        </w:rPr>
        <w:t xml:space="preserve"> as medidas necessárias para regularização do procedimento.</w:t>
      </w:r>
    </w:p>
    <w:p w:rsidR="00714220" w:rsidRPr="00733700" w:rsidRDefault="006544F9" w:rsidP="00733700">
      <w:pPr>
        <w:pStyle w:val="PargrafodaLista"/>
        <w:suppressAutoHyphens/>
        <w:spacing w:before="0" w:after="0" w:line="360" w:lineRule="auto"/>
        <w:ind w:left="709"/>
        <w:rPr>
          <w:rFonts w:asciiTheme="minorHAnsi" w:hAnsiTheme="minorHAnsi" w:cstheme="minorHAnsi"/>
        </w:rPr>
      </w:pPr>
      <w:r w:rsidRPr="00733700">
        <w:rPr>
          <w:rFonts w:asciiTheme="minorHAnsi" w:hAnsiTheme="minorHAnsi" w:cstheme="minorHAnsi"/>
          <w:b/>
        </w:rPr>
        <w:t>D</w:t>
      </w:r>
      <w:r w:rsidR="00FB2B80" w:rsidRPr="00733700">
        <w:rPr>
          <w:rFonts w:asciiTheme="minorHAnsi" w:hAnsiTheme="minorHAnsi" w:cstheme="minorHAnsi"/>
          <w:b/>
        </w:rPr>
        <w:t xml:space="preserve">. </w:t>
      </w:r>
      <w:r w:rsidR="000B5241" w:rsidRPr="00733700">
        <w:rPr>
          <w:rFonts w:asciiTheme="minorHAnsi" w:hAnsiTheme="minorHAnsi" w:cstheme="minorHAnsi"/>
          <w:b/>
          <w:u w:val="single"/>
        </w:rPr>
        <w:t>POSSÍVEL INOBSERVÂNCIA DAS NORMAS ESTABELECIDAS PELA CMED/ANVISA</w:t>
      </w:r>
      <w:r w:rsidR="00FB2B80" w:rsidRPr="00733700">
        <w:rPr>
          <w:rFonts w:asciiTheme="minorHAnsi" w:hAnsiTheme="minorHAnsi" w:cstheme="minorHAnsi"/>
          <w:b/>
        </w:rPr>
        <w:t xml:space="preserve"> </w:t>
      </w:r>
      <w:r w:rsidR="00FB2B80" w:rsidRPr="00733700">
        <w:rPr>
          <w:rFonts w:asciiTheme="minorHAnsi" w:hAnsiTheme="minorHAnsi" w:cstheme="minorHAnsi"/>
        </w:rPr>
        <w:t xml:space="preserve">– </w:t>
      </w:r>
      <w:r w:rsidR="000B5241" w:rsidRPr="00733700">
        <w:rPr>
          <w:rFonts w:asciiTheme="minorHAnsi" w:hAnsiTheme="minorHAnsi" w:cstheme="minorHAnsi"/>
        </w:rPr>
        <w:t xml:space="preserve">Em face dos argumentos apresentados no Item II, que o ente de origem adote as medidas necessárias para regularização do procedimento ou declare expressamente, </w:t>
      </w:r>
      <w:r w:rsidR="0099791E" w:rsidRPr="00733700">
        <w:rPr>
          <w:rFonts w:asciiTheme="minorHAnsi" w:hAnsiTheme="minorHAnsi" w:cstheme="minorHAnsi"/>
          <w:b/>
        </w:rPr>
        <w:t>sob-responsabilidade</w:t>
      </w:r>
      <w:r w:rsidR="000B5241" w:rsidRPr="00733700">
        <w:rPr>
          <w:rFonts w:asciiTheme="minorHAnsi" w:hAnsiTheme="minorHAnsi" w:cstheme="minorHAnsi"/>
          <w:b/>
        </w:rPr>
        <w:t xml:space="preserve"> das alegações apresentadas</w:t>
      </w:r>
      <w:r w:rsidR="000B5241" w:rsidRPr="00733700">
        <w:rPr>
          <w:rFonts w:asciiTheme="minorHAnsi" w:hAnsiTheme="minorHAnsi" w:cstheme="minorHAnsi"/>
        </w:rPr>
        <w:t>, que as regras estabelecidas pela Câmara de Regulação de Medicamentos – CMED foram atendidas.</w:t>
      </w:r>
    </w:p>
    <w:p w:rsidR="00714220" w:rsidRPr="00733700" w:rsidRDefault="00856C54" w:rsidP="00733700">
      <w:pPr>
        <w:suppressAutoHyphens/>
        <w:spacing w:after="0" w:line="360" w:lineRule="auto"/>
        <w:ind w:left="709"/>
        <w:jc w:val="both"/>
        <w:rPr>
          <w:rFonts w:asciiTheme="minorHAnsi" w:hAnsiTheme="minorHAnsi" w:cstheme="minorHAnsi"/>
          <w:b/>
          <w:u w:val="single"/>
        </w:rPr>
      </w:pPr>
      <w:r w:rsidRPr="00733700">
        <w:rPr>
          <w:rFonts w:asciiTheme="minorHAnsi" w:hAnsiTheme="minorHAnsi" w:cstheme="minorHAnsi"/>
          <w:b/>
        </w:rPr>
        <w:t>E</w:t>
      </w:r>
      <w:r w:rsidR="00714220" w:rsidRPr="00733700">
        <w:rPr>
          <w:rFonts w:asciiTheme="minorHAnsi" w:hAnsiTheme="minorHAnsi" w:cstheme="minorHAnsi"/>
          <w:b/>
        </w:rPr>
        <w:t xml:space="preserve">. </w:t>
      </w:r>
      <w:r w:rsidR="00714220" w:rsidRPr="00733700">
        <w:rPr>
          <w:rFonts w:asciiTheme="minorHAnsi" w:hAnsiTheme="minorHAnsi" w:cstheme="minorHAnsi"/>
          <w:b/>
          <w:u w:val="single"/>
        </w:rPr>
        <w:t>DAS CERTIDÕES</w:t>
      </w:r>
      <w:r w:rsidR="00714220" w:rsidRPr="00733700">
        <w:rPr>
          <w:rFonts w:asciiTheme="minorHAnsi" w:hAnsiTheme="minorHAnsi" w:cstheme="minorHAnsi"/>
          <w:b/>
        </w:rPr>
        <w:t xml:space="preserve"> </w:t>
      </w:r>
      <w:r w:rsidR="00714220" w:rsidRPr="00733700">
        <w:rPr>
          <w:rFonts w:asciiTheme="minorHAnsi" w:hAnsiTheme="minorHAnsi" w:cstheme="minorHAnsi"/>
        </w:rPr>
        <w:t>– Quando d</w:t>
      </w:r>
      <w:r w:rsidR="000B5241" w:rsidRPr="00733700">
        <w:rPr>
          <w:rFonts w:asciiTheme="minorHAnsi" w:hAnsiTheme="minorHAnsi" w:cstheme="minorHAnsi"/>
        </w:rPr>
        <w:t>a</w:t>
      </w:r>
      <w:r w:rsidR="00714220" w:rsidRPr="00733700">
        <w:rPr>
          <w:rFonts w:asciiTheme="minorHAnsi" w:hAnsiTheme="minorHAnsi" w:cstheme="minorHAnsi"/>
        </w:rPr>
        <w:t xml:space="preserve"> </w:t>
      </w:r>
      <w:r w:rsidR="000B5241" w:rsidRPr="00733700">
        <w:rPr>
          <w:rFonts w:asciiTheme="minorHAnsi" w:hAnsiTheme="minorHAnsi" w:cstheme="minorHAnsi"/>
        </w:rPr>
        <w:t>efetiva contratação</w:t>
      </w:r>
      <w:r w:rsidR="00714220" w:rsidRPr="00733700">
        <w:rPr>
          <w:rFonts w:asciiTheme="minorHAnsi" w:hAnsiTheme="minorHAnsi" w:cstheme="minorHAnsi"/>
        </w:rPr>
        <w:t xml:space="preserve">, que as certidões referentes à regularidade </w:t>
      </w:r>
      <w:r w:rsidR="000B5241" w:rsidRPr="00733700">
        <w:rPr>
          <w:rFonts w:asciiTheme="minorHAnsi" w:hAnsiTheme="minorHAnsi" w:cstheme="minorHAnsi"/>
        </w:rPr>
        <w:t>jurídica, fiscal e trabalhista sejam observadas</w:t>
      </w:r>
      <w:r w:rsidR="00714220" w:rsidRPr="00733700">
        <w:rPr>
          <w:rFonts w:asciiTheme="minorHAnsi" w:hAnsiTheme="minorHAnsi" w:cstheme="minorHAnsi"/>
        </w:rPr>
        <w:t xml:space="preserve"> </w:t>
      </w:r>
      <w:r w:rsidR="000B5241" w:rsidRPr="00733700">
        <w:rPr>
          <w:rFonts w:asciiTheme="minorHAnsi" w:hAnsiTheme="minorHAnsi" w:cstheme="minorHAnsi"/>
        </w:rPr>
        <w:t>e os documentos comprobatórios sejam</w:t>
      </w:r>
      <w:r w:rsidR="00714220" w:rsidRPr="00733700">
        <w:rPr>
          <w:rFonts w:asciiTheme="minorHAnsi" w:hAnsiTheme="minorHAnsi" w:cstheme="minorHAnsi"/>
        </w:rPr>
        <w:t xml:space="preserve"> acostad</w:t>
      </w:r>
      <w:r w:rsidR="000B5241" w:rsidRPr="00733700">
        <w:rPr>
          <w:rFonts w:asciiTheme="minorHAnsi" w:hAnsiTheme="minorHAnsi" w:cstheme="minorHAnsi"/>
        </w:rPr>
        <w:t>o</w:t>
      </w:r>
      <w:r w:rsidR="00714220" w:rsidRPr="00733700">
        <w:rPr>
          <w:rFonts w:asciiTheme="minorHAnsi" w:hAnsiTheme="minorHAnsi" w:cstheme="minorHAnsi"/>
        </w:rPr>
        <w:t>s aos autos em atendimento à legislação pertinente.</w:t>
      </w:r>
    </w:p>
    <w:p w:rsidR="00714220" w:rsidRPr="00733700" w:rsidRDefault="00714220" w:rsidP="00733700">
      <w:pPr>
        <w:pStyle w:val="SemEspaamento"/>
        <w:spacing w:line="360" w:lineRule="auto"/>
        <w:ind w:firstLine="708"/>
        <w:jc w:val="both"/>
        <w:rPr>
          <w:rFonts w:asciiTheme="minorHAnsi" w:hAnsiTheme="minorHAnsi" w:cstheme="minorHAnsi"/>
        </w:rPr>
      </w:pPr>
      <w:r w:rsidRPr="00733700">
        <w:rPr>
          <w:rFonts w:asciiTheme="minorHAnsi" w:hAnsiTheme="minorHAnsi" w:cstheme="minorHAnsi"/>
        </w:rPr>
        <w:t>Encaminhem-se os autos ao gabinete da Controladora Geral, para conhecimento da análise apresentada e providências, sugerindo a</w:t>
      </w:r>
      <w:r w:rsidR="00856C54" w:rsidRPr="00733700">
        <w:rPr>
          <w:rFonts w:asciiTheme="minorHAnsi" w:hAnsiTheme="minorHAnsi" w:cstheme="minorHAnsi"/>
        </w:rPr>
        <w:t xml:space="preserve"> remessa dos autos à Proc</w:t>
      </w:r>
      <w:r w:rsidR="006544F9" w:rsidRPr="00733700">
        <w:rPr>
          <w:rFonts w:asciiTheme="minorHAnsi" w:hAnsiTheme="minorHAnsi" w:cstheme="minorHAnsi"/>
        </w:rPr>
        <w:t xml:space="preserve">uradoria Geral do Estado – PGE, e, posteriormente, à Agência de Modernização da Gestão de Processos – AMGESP. </w:t>
      </w:r>
      <w:r w:rsidR="00856C54" w:rsidRPr="00733700">
        <w:rPr>
          <w:rFonts w:asciiTheme="minorHAnsi" w:hAnsiTheme="minorHAnsi" w:cstheme="minorHAnsi"/>
        </w:rPr>
        <w:t xml:space="preserve">Em ato contínuo, que o processo evolua ao </w:t>
      </w:r>
      <w:r w:rsidR="000B5241" w:rsidRPr="00733700">
        <w:rPr>
          <w:rFonts w:asciiTheme="minorHAnsi" w:hAnsiTheme="minorHAnsi" w:cstheme="minorHAnsi"/>
        </w:rPr>
        <w:t>ente</w:t>
      </w:r>
      <w:r w:rsidRPr="00733700">
        <w:rPr>
          <w:rFonts w:asciiTheme="minorHAnsi" w:hAnsiTheme="minorHAnsi" w:cstheme="minorHAnsi"/>
        </w:rPr>
        <w:t xml:space="preserve"> de origem, para a solução da</w:t>
      </w:r>
      <w:r w:rsidR="00856C54" w:rsidRPr="00733700">
        <w:rPr>
          <w:rFonts w:asciiTheme="minorHAnsi" w:hAnsiTheme="minorHAnsi" w:cstheme="minorHAnsi"/>
        </w:rPr>
        <w:t>s</w:t>
      </w:r>
      <w:r w:rsidRPr="00733700">
        <w:rPr>
          <w:rFonts w:asciiTheme="minorHAnsi" w:hAnsiTheme="minorHAnsi" w:cstheme="minorHAnsi"/>
        </w:rPr>
        <w:t xml:space="preserve"> pendência</w:t>
      </w:r>
      <w:r w:rsidR="00856C54" w:rsidRPr="00733700">
        <w:rPr>
          <w:rFonts w:asciiTheme="minorHAnsi" w:hAnsiTheme="minorHAnsi" w:cstheme="minorHAnsi"/>
        </w:rPr>
        <w:t>s</w:t>
      </w:r>
      <w:r w:rsidRPr="00733700">
        <w:rPr>
          <w:rFonts w:asciiTheme="minorHAnsi" w:hAnsiTheme="minorHAnsi" w:cstheme="minorHAnsi"/>
        </w:rPr>
        <w:t xml:space="preserve"> processua</w:t>
      </w:r>
      <w:r w:rsidR="00856C54" w:rsidRPr="00733700">
        <w:rPr>
          <w:rFonts w:asciiTheme="minorHAnsi" w:hAnsiTheme="minorHAnsi" w:cstheme="minorHAnsi"/>
        </w:rPr>
        <w:t>is</w:t>
      </w:r>
      <w:r w:rsidRPr="00733700">
        <w:rPr>
          <w:rFonts w:asciiTheme="minorHAnsi" w:hAnsiTheme="minorHAnsi" w:cstheme="minorHAnsi"/>
        </w:rPr>
        <w:t xml:space="preserve"> apontada</w:t>
      </w:r>
      <w:r w:rsidR="00856C54" w:rsidRPr="00733700">
        <w:rPr>
          <w:rFonts w:asciiTheme="minorHAnsi" w:hAnsiTheme="minorHAnsi" w:cstheme="minorHAnsi"/>
        </w:rPr>
        <w:t>s</w:t>
      </w:r>
      <w:r w:rsidRPr="00733700">
        <w:rPr>
          <w:rFonts w:asciiTheme="minorHAnsi" w:hAnsiTheme="minorHAnsi" w:cstheme="minorHAnsi"/>
        </w:rPr>
        <w:t xml:space="preserve"> n</w:t>
      </w:r>
      <w:r w:rsidR="00856C54" w:rsidRPr="00733700">
        <w:rPr>
          <w:rFonts w:asciiTheme="minorHAnsi" w:hAnsiTheme="minorHAnsi" w:cstheme="minorHAnsi"/>
        </w:rPr>
        <w:t>a</w:t>
      </w:r>
      <w:r w:rsidRPr="00733700">
        <w:rPr>
          <w:rFonts w:asciiTheme="minorHAnsi" w:hAnsiTheme="minorHAnsi" w:cstheme="minorHAnsi"/>
        </w:rPr>
        <w:t xml:space="preserve">s </w:t>
      </w:r>
      <w:r w:rsidR="00856C54" w:rsidRPr="00733700">
        <w:rPr>
          <w:rFonts w:asciiTheme="minorHAnsi" w:hAnsiTheme="minorHAnsi" w:cstheme="minorHAnsi"/>
        </w:rPr>
        <w:t>alíneas</w:t>
      </w:r>
      <w:r w:rsidRPr="00733700">
        <w:rPr>
          <w:rFonts w:asciiTheme="minorHAnsi" w:hAnsiTheme="minorHAnsi" w:cstheme="minorHAnsi"/>
        </w:rPr>
        <w:t xml:space="preserve"> </w:t>
      </w:r>
      <w:r w:rsidRPr="00733700">
        <w:rPr>
          <w:rFonts w:asciiTheme="minorHAnsi" w:hAnsiTheme="minorHAnsi" w:cstheme="minorHAnsi"/>
          <w:b/>
        </w:rPr>
        <w:t>“</w:t>
      </w:r>
      <w:r w:rsidR="006544F9" w:rsidRPr="00733700">
        <w:rPr>
          <w:rFonts w:asciiTheme="minorHAnsi" w:hAnsiTheme="minorHAnsi" w:cstheme="minorHAnsi"/>
          <w:b/>
        </w:rPr>
        <w:t>C</w:t>
      </w:r>
      <w:r w:rsidRPr="00733700">
        <w:rPr>
          <w:rFonts w:asciiTheme="minorHAnsi" w:hAnsiTheme="minorHAnsi" w:cstheme="minorHAnsi"/>
          <w:b/>
        </w:rPr>
        <w:t>”</w:t>
      </w:r>
      <w:r w:rsidR="006544F9" w:rsidRPr="00733700">
        <w:rPr>
          <w:rFonts w:asciiTheme="minorHAnsi" w:hAnsiTheme="minorHAnsi" w:cstheme="minorHAnsi"/>
          <w:b/>
        </w:rPr>
        <w:t>, “D”</w:t>
      </w:r>
      <w:r w:rsidRPr="00733700">
        <w:rPr>
          <w:rFonts w:asciiTheme="minorHAnsi" w:hAnsiTheme="minorHAnsi" w:cstheme="minorHAnsi"/>
          <w:b/>
        </w:rPr>
        <w:t xml:space="preserve"> </w:t>
      </w:r>
      <w:r w:rsidR="006544F9" w:rsidRPr="00733700">
        <w:rPr>
          <w:rFonts w:asciiTheme="minorHAnsi" w:hAnsiTheme="minorHAnsi" w:cstheme="minorHAnsi"/>
        </w:rPr>
        <w:t>e</w:t>
      </w:r>
      <w:r w:rsidRPr="00733700">
        <w:rPr>
          <w:rFonts w:asciiTheme="minorHAnsi" w:hAnsiTheme="minorHAnsi" w:cstheme="minorHAnsi"/>
          <w:b/>
        </w:rPr>
        <w:t xml:space="preserve"> “</w:t>
      </w:r>
      <w:r w:rsidR="006544F9" w:rsidRPr="00733700">
        <w:rPr>
          <w:rFonts w:asciiTheme="minorHAnsi" w:hAnsiTheme="minorHAnsi" w:cstheme="minorHAnsi"/>
          <w:b/>
        </w:rPr>
        <w:t>E</w:t>
      </w:r>
      <w:r w:rsidRPr="00733700">
        <w:rPr>
          <w:rFonts w:asciiTheme="minorHAnsi" w:hAnsiTheme="minorHAnsi" w:cstheme="minorHAnsi"/>
          <w:b/>
        </w:rPr>
        <w:t xml:space="preserve">”. </w:t>
      </w:r>
    </w:p>
    <w:p w:rsidR="00714220" w:rsidRPr="00733700" w:rsidRDefault="00714220" w:rsidP="00733700">
      <w:pPr>
        <w:spacing w:after="0" w:line="360" w:lineRule="auto"/>
        <w:jc w:val="center"/>
        <w:rPr>
          <w:rFonts w:asciiTheme="minorHAnsi" w:hAnsiTheme="minorHAnsi" w:cstheme="minorHAnsi"/>
          <w:bCs/>
        </w:rPr>
      </w:pPr>
      <w:r w:rsidRPr="00733700">
        <w:rPr>
          <w:rFonts w:asciiTheme="minorHAnsi" w:hAnsiTheme="minorHAnsi" w:cstheme="minorHAnsi"/>
          <w:bCs/>
        </w:rPr>
        <w:t xml:space="preserve">Maceió-AL, </w:t>
      </w:r>
      <w:r w:rsidR="00C4326E" w:rsidRPr="00733700">
        <w:rPr>
          <w:rFonts w:asciiTheme="minorHAnsi" w:hAnsiTheme="minorHAnsi" w:cstheme="minorHAnsi"/>
          <w:bCs/>
        </w:rPr>
        <w:t>18</w:t>
      </w:r>
      <w:r w:rsidRPr="00733700">
        <w:rPr>
          <w:rFonts w:asciiTheme="minorHAnsi" w:hAnsiTheme="minorHAnsi" w:cstheme="minorHAnsi"/>
          <w:bCs/>
        </w:rPr>
        <w:t xml:space="preserve"> de </w:t>
      </w:r>
      <w:r w:rsidR="00856C54" w:rsidRPr="00733700">
        <w:rPr>
          <w:rFonts w:asciiTheme="minorHAnsi" w:hAnsiTheme="minorHAnsi" w:cstheme="minorHAnsi"/>
          <w:bCs/>
        </w:rPr>
        <w:t>outubro</w:t>
      </w:r>
      <w:r w:rsidRPr="00733700">
        <w:rPr>
          <w:rFonts w:asciiTheme="minorHAnsi" w:hAnsiTheme="minorHAnsi" w:cstheme="minorHAnsi"/>
          <w:bCs/>
        </w:rPr>
        <w:t xml:space="preserve"> de 2017.</w:t>
      </w:r>
    </w:p>
    <w:p w:rsidR="00714220" w:rsidRDefault="00714220" w:rsidP="00733700">
      <w:pPr>
        <w:spacing w:after="0" w:line="360" w:lineRule="auto"/>
        <w:jc w:val="center"/>
        <w:rPr>
          <w:rFonts w:asciiTheme="minorHAnsi" w:hAnsiTheme="minorHAnsi" w:cstheme="minorHAnsi"/>
          <w:bCs/>
        </w:rPr>
      </w:pPr>
    </w:p>
    <w:p w:rsidR="00714220" w:rsidRPr="00733700" w:rsidRDefault="00714220" w:rsidP="00670EE6">
      <w:pPr>
        <w:spacing w:after="0" w:line="240" w:lineRule="auto"/>
        <w:jc w:val="center"/>
        <w:rPr>
          <w:rFonts w:asciiTheme="minorHAnsi" w:hAnsiTheme="minorHAnsi" w:cstheme="minorHAnsi"/>
          <w:lang w:eastAsia="ar-SA"/>
        </w:rPr>
      </w:pPr>
      <w:r w:rsidRPr="00733700">
        <w:rPr>
          <w:rFonts w:asciiTheme="minorHAnsi" w:hAnsiTheme="minorHAnsi" w:cstheme="minorHAnsi"/>
          <w:lang w:eastAsia="ar-SA"/>
        </w:rPr>
        <w:t>Lilian Maria Nunes Silva</w:t>
      </w:r>
    </w:p>
    <w:p w:rsidR="00714220" w:rsidRPr="00733700" w:rsidRDefault="00714220" w:rsidP="00670EE6">
      <w:pPr>
        <w:spacing w:after="0" w:line="240" w:lineRule="auto"/>
        <w:jc w:val="center"/>
        <w:rPr>
          <w:rFonts w:asciiTheme="minorHAnsi" w:hAnsiTheme="minorHAnsi" w:cstheme="minorHAnsi"/>
          <w:b/>
        </w:rPr>
      </w:pPr>
      <w:r w:rsidRPr="00733700">
        <w:rPr>
          <w:rFonts w:asciiTheme="minorHAnsi" w:hAnsiTheme="minorHAnsi" w:cstheme="minorHAnsi"/>
          <w:b/>
        </w:rPr>
        <w:t>Assessor de Controle Interno/ Matrícula nº 62.686-4</w:t>
      </w:r>
    </w:p>
    <w:p w:rsidR="00670EE6" w:rsidRDefault="00670EE6" w:rsidP="00733700">
      <w:pPr>
        <w:tabs>
          <w:tab w:val="left" w:pos="283"/>
        </w:tabs>
        <w:spacing w:after="0" w:line="360" w:lineRule="auto"/>
        <w:rPr>
          <w:rFonts w:asciiTheme="minorHAnsi" w:hAnsiTheme="minorHAnsi" w:cstheme="minorHAnsi"/>
        </w:rPr>
      </w:pPr>
    </w:p>
    <w:p w:rsidR="00714220" w:rsidRPr="00733700" w:rsidRDefault="00714220" w:rsidP="00733700">
      <w:pPr>
        <w:tabs>
          <w:tab w:val="left" w:pos="283"/>
        </w:tabs>
        <w:spacing w:after="0" w:line="360" w:lineRule="auto"/>
        <w:rPr>
          <w:rFonts w:asciiTheme="minorHAnsi" w:hAnsiTheme="minorHAnsi" w:cstheme="minorHAnsi"/>
        </w:rPr>
      </w:pPr>
      <w:r w:rsidRPr="00733700">
        <w:rPr>
          <w:rFonts w:asciiTheme="minorHAnsi" w:hAnsiTheme="minorHAnsi" w:cstheme="minorHAnsi"/>
        </w:rPr>
        <w:t>De acordo:</w:t>
      </w:r>
    </w:p>
    <w:p w:rsidR="009700E1" w:rsidRPr="00733700" w:rsidRDefault="00714220" w:rsidP="00670EE6">
      <w:pPr>
        <w:tabs>
          <w:tab w:val="left" w:pos="0"/>
        </w:tabs>
        <w:spacing w:after="0" w:line="240" w:lineRule="auto"/>
        <w:jc w:val="center"/>
        <w:rPr>
          <w:rFonts w:asciiTheme="minorHAnsi" w:hAnsiTheme="minorHAnsi" w:cstheme="minorHAnsi"/>
        </w:rPr>
      </w:pPr>
      <w:r w:rsidRPr="00733700">
        <w:rPr>
          <w:rFonts w:asciiTheme="minorHAnsi" w:hAnsiTheme="minorHAnsi" w:cstheme="minorHAnsi"/>
        </w:rPr>
        <w:t xml:space="preserve">Adriana </w:t>
      </w:r>
      <w:r w:rsidR="009700E1" w:rsidRPr="00733700">
        <w:rPr>
          <w:rFonts w:asciiTheme="minorHAnsi" w:hAnsiTheme="minorHAnsi" w:cstheme="minorHAnsi"/>
        </w:rPr>
        <w:t>Andrade Araújo</w:t>
      </w:r>
    </w:p>
    <w:p w:rsidR="00714220" w:rsidRPr="00733700" w:rsidRDefault="00714220" w:rsidP="00670EE6">
      <w:pPr>
        <w:tabs>
          <w:tab w:val="left" w:pos="0"/>
        </w:tabs>
        <w:spacing w:after="0" w:line="240" w:lineRule="auto"/>
        <w:jc w:val="center"/>
        <w:rPr>
          <w:rFonts w:asciiTheme="minorHAnsi" w:hAnsiTheme="minorHAnsi" w:cstheme="minorHAnsi"/>
          <w:b/>
          <w:u w:val="single"/>
        </w:rPr>
      </w:pPr>
      <w:r w:rsidRPr="00733700">
        <w:rPr>
          <w:rFonts w:asciiTheme="minorHAnsi" w:hAnsiTheme="minorHAnsi" w:cstheme="minorHAnsi"/>
          <w:b/>
        </w:rPr>
        <w:t>Superintendente de Auditagem - Matrícula n° 113-9</w:t>
      </w:r>
    </w:p>
    <w:sectPr w:rsidR="00714220" w:rsidRPr="00733700" w:rsidSect="00443699">
      <w:headerReference w:type="default" r:id="rId11"/>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FA8" w:rsidRDefault="00317FA8" w:rsidP="003068B9">
      <w:pPr>
        <w:spacing w:after="0" w:line="240" w:lineRule="auto"/>
      </w:pPr>
      <w:r>
        <w:separator/>
      </w:r>
    </w:p>
  </w:endnote>
  <w:endnote w:type="continuationSeparator" w:id="0">
    <w:p w:rsidR="00317FA8" w:rsidRDefault="00317FA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FA8" w:rsidRDefault="00317FA8" w:rsidP="003068B9">
      <w:pPr>
        <w:spacing w:after="0" w:line="240" w:lineRule="auto"/>
      </w:pPr>
      <w:r>
        <w:separator/>
      </w:r>
    </w:p>
  </w:footnote>
  <w:footnote w:type="continuationSeparator" w:id="0">
    <w:p w:rsidR="00317FA8" w:rsidRDefault="00317FA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FA8" w:rsidRDefault="00FF156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79.7pt;margin-top:17.8pt;width:33pt;height:26.25pt;z-index:251657728" filled="f" stroked="f">
          <v:textbox style="mso-next-textbox:#_x0000_s1025">
            <w:txbxContent>
              <w:p w:rsidR="00317FA8" w:rsidRPr="003068B9" w:rsidRDefault="00317FA8"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317FA8" w:rsidRPr="0098367C" w:rsidRDefault="00317FA8"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317FA8">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6397A26"/>
    <w:multiLevelType w:val="hybridMultilevel"/>
    <w:tmpl w:val="5900B8C0"/>
    <w:lvl w:ilvl="0" w:tplc="D9D68CA0">
      <w:start w:val="1"/>
      <w:numFmt w:val="upp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F322221"/>
    <w:multiLevelType w:val="hybridMultilevel"/>
    <w:tmpl w:val="F3D828E0"/>
    <w:lvl w:ilvl="0" w:tplc="8C4A642A">
      <w:start w:val="1"/>
      <w:numFmt w:val="upperLetter"/>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241481E"/>
    <w:multiLevelType w:val="hybridMultilevel"/>
    <w:tmpl w:val="95067666"/>
    <w:lvl w:ilvl="0" w:tplc="9C783FEC">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63D6DF6"/>
    <w:multiLevelType w:val="hybridMultilevel"/>
    <w:tmpl w:val="09D482DA"/>
    <w:lvl w:ilvl="0" w:tplc="FA4E2B2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6A19214B"/>
    <w:multiLevelType w:val="hybridMultilevel"/>
    <w:tmpl w:val="75CCA2FE"/>
    <w:lvl w:ilvl="0" w:tplc="8006DB6A">
      <w:start w:val="1"/>
      <w:numFmt w:val="lowerLetter"/>
      <w:lvlText w:val="%1)"/>
      <w:lvlJc w:val="left"/>
      <w:pPr>
        <w:ind w:left="1353" w:hanging="360"/>
      </w:pPr>
      <w:rPr>
        <w:b w:val="0"/>
        <w:color w:val="auto"/>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7FC630B"/>
    <w:multiLevelType w:val="hybridMultilevel"/>
    <w:tmpl w:val="F3D828E0"/>
    <w:lvl w:ilvl="0" w:tplc="8C4A642A">
      <w:start w:val="1"/>
      <w:numFmt w:val="upperLetter"/>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12"/>
  </w:num>
  <w:num w:numId="3">
    <w:abstractNumId w:val="15"/>
  </w:num>
  <w:num w:numId="4">
    <w:abstractNumId w:val="13"/>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6"/>
  </w:num>
  <w:num w:numId="13">
    <w:abstractNumId w:val="9"/>
  </w:num>
  <w:num w:numId="14">
    <w:abstractNumId w:val="6"/>
  </w:num>
  <w:num w:numId="15">
    <w:abstractNumId w:val="21"/>
  </w:num>
  <w:num w:numId="16">
    <w:abstractNumId w:val="1"/>
  </w:num>
  <w:num w:numId="17">
    <w:abstractNumId w:val="4"/>
  </w:num>
  <w:num w:numId="18">
    <w:abstractNumId w:val="0"/>
  </w:num>
  <w:num w:numId="19">
    <w:abstractNumId w:val="7"/>
  </w:num>
  <w:num w:numId="20">
    <w:abstractNumId w:val="18"/>
  </w:num>
  <w:num w:numId="21">
    <w:abstractNumId w:val="17"/>
  </w:num>
  <w:num w:numId="22">
    <w:abstractNumId w:val="14"/>
  </w:num>
  <w:num w:numId="23">
    <w:abstractNumId w:val="10"/>
  </w:num>
  <w:num w:numId="24">
    <w:abstractNumId w:val="22"/>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7DE"/>
    <w:rsid w:val="00004D84"/>
    <w:rsid w:val="00010C2A"/>
    <w:rsid w:val="0001185A"/>
    <w:rsid w:val="00012F3A"/>
    <w:rsid w:val="00016154"/>
    <w:rsid w:val="0002351E"/>
    <w:rsid w:val="00023AAC"/>
    <w:rsid w:val="00024DE5"/>
    <w:rsid w:val="00024FA7"/>
    <w:rsid w:val="000276DF"/>
    <w:rsid w:val="0002782F"/>
    <w:rsid w:val="00034265"/>
    <w:rsid w:val="00036DBB"/>
    <w:rsid w:val="00046A38"/>
    <w:rsid w:val="00055CA9"/>
    <w:rsid w:val="0005691E"/>
    <w:rsid w:val="00060209"/>
    <w:rsid w:val="00060807"/>
    <w:rsid w:val="000639BC"/>
    <w:rsid w:val="00063D92"/>
    <w:rsid w:val="0006543B"/>
    <w:rsid w:val="00070257"/>
    <w:rsid w:val="00070898"/>
    <w:rsid w:val="000804BE"/>
    <w:rsid w:val="00085671"/>
    <w:rsid w:val="0009012C"/>
    <w:rsid w:val="00095A57"/>
    <w:rsid w:val="00095E4F"/>
    <w:rsid w:val="00097C9A"/>
    <w:rsid w:val="000A58ED"/>
    <w:rsid w:val="000A7D5C"/>
    <w:rsid w:val="000B2638"/>
    <w:rsid w:val="000B35B4"/>
    <w:rsid w:val="000B44E6"/>
    <w:rsid w:val="000B5063"/>
    <w:rsid w:val="000B5241"/>
    <w:rsid w:val="000B6470"/>
    <w:rsid w:val="000B6B10"/>
    <w:rsid w:val="000B6BDF"/>
    <w:rsid w:val="000C2334"/>
    <w:rsid w:val="000C3D68"/>
    <w:rsid w:val="000C4411"/>
    <w:rsid w:val="000D1BEF"/>
    <w:rsid w:val="000D7534"/>
    <w:rsid w:val="000E31D5"/>
    <w:rsid w:val="000E4D70"/>
    <w:rsid w:val="000E6E84"/>
    <w:rsid w:val="000E7D27"/>
    <w:rsid w:val="000E7F59"/>
    <w:rsid w:val="000F1062"/>
    <w:rsid w:val="000F70E5"/>
    <w:rsid w:val="000F744A"/>
    <w:rsid w:val="001001A6"/>
    <w:rsid w:val="00100931"/>
    <w:rsid w:val="00100DE2"/>
    <w:rsid w:val="00106350"/>
    <w:rsid w:val="001126DB"/>
    <w:rsid w:val="00121644"/>
    <w:rsid w:val="001222BE"/>
    <w:rsid w:val="00122402"/>
    <w:rsid w:val="00122F96"/>
    <w:rsid w:val="00126DAF"/>
    <w:rsid w:val="00130318"/>
    <w:rsid w:val="00136D0C"/>
    <w:rsid w:val="00140DC8"/>
    <w:rsid w:val="00141F50"/>
    <w:rsid w:val="00144AF7"/>
    <w:rsid w:val="00145C5D"/>
    <w:rsid w:val="0014708F"/>
    <w:rsid w:val="0014737B"/>
    <w:rsid w:val="00150A2D"/>
    <w:rsid w:val="001526CB"/>
    <w:rsid w:val="00154292"/>
    <w:rsid w:val="001543AF"/>
    <w:rsid w:val="00160277"/>
    <w:rsid w:val="00160726"/>
    <w:rsid w:val="00162B5F"/>
    <w:rsid w:val="00165237"/>
    <w:rsid w:val="00170337"/>
    <w:rsid w:val="00171D25"/>
    <w:rsid w:val="00171D7D"/>
    <w:rsid w:val="00173959"/>
    <w:rsid w:val="0017659C"/>
    <w:rsid w:val="0018283D"/>
    <w:rsid w:val="001860A7"/>
    <w:rsid w:val="00187DA9"/>
    <w:rsid w:val="001917A9"/>
    <w:rsid w:val="001920FC"/>
    <w:rsid w:val="001944FE"/>
    <w:rsid w:val="001952C8"/>
    <w:rsid w:val="001A1614"/>
    <w:rsid w:val="001B1560"/>
    <w:rsid w:val="001B29E2"/>
    <w:rsid w:val="001B2AB3"/>
    <w:rsid w:val="001B3B80"/>
    <w:rsid w:val="001B485B"/>
    <w:rsid w:val="001C4EFC"/>
    <w:rsid w:val="001D3764"/>
    <w:rsid w:val="001D5B96"/>
    <w:rsid w:val="001E04E6"/>
    <w:rsid w:val="001E0BFF"/>
    <w:rsid w:val="001E5E64"/>
    <w:rsid w:val="001E7AD6"/>
    <w:rsid w:val="001F1AF7"/>
    <w:rsid w:val="001F275C"/>
    <w:rsid w:val="00200920"/>
    <w:rsid w:val="00203251"/>
    <w:rsid w:val="00203ACF"/>
    <w:rsid w:val="00210115"/>
    <w:rsid w:val="00211512"/>
    <w:rsid w:val="002125F9"/>
    <w:rsid w:val="0021405A"/>
    <w:rsid w:val="00215AB3"/>
    <w:rsid w:val="002170BB"/>
    <w:rsid w:val="0022426D"/>
    <w:rsid w:val="00224873"/>
    <w:rsid w:val="00226713"/>
    <w:rsid w:val="00226ED4"/>
    <w:rsid w:val="00227A69"/>
    <w:rsid w:val="00232814"/>
    <w:rsid w:val="00236468"/>
    <w:rsid w:val="00244026"/>
    <w:rsid w:val="00250A6E"/>
    <w:rsid w:val="002539E8"/>
    <w:rsid w:val="00253E26"/>
    <w:rsid w:val="00257E46"/>
    <w:rsid w:val="00257EFE"/>
    <w:rsid w:val="00261F0D"/>
    <w:rsid w:val="00262D74"/>
    <w:rsid w:val="00263A2E"/>
    <w:rsid w:val="00264554"/>
    <w:rsid w:val="0026745F"/>
    <w:rsid w:val="0027144E"/>
    <w:rsid w:val="00271B00"/>
    <w:rsid w:val="00273191"/>
    <w:rsid w:val="00273937"/>
    <w:rsid w:val="00276B82"/>
    <w:rsid w:val="002774B8"/>
    <w:rsid w:val="00283F19"/>
    <w:rsid w:val="00286559"/>
    <w:rsid w:val="002868B5"/>
    <w:rsid w:val="00286AA8"/>
    <w:rsid w:val="00287AEA"/>
    <w:rsid w:val="00296284"/>
    <w:rsid w:val="002976B7"/>
    <w:rsid w:val="002A7A87"/>
    <w:rsid w:val="002A7AE5"/>
    <w:rsid w:val="002B29BB"/>
    <w:rsid w:val="002B328B"/>
    <w:rsid w:val="002C37AD"/>
    <w:rsid w:val="002C7B52"/>
    <w:rsid w:val="002D0CC6"/>
    <w:rsid w:val="002D120A"/>
    <w:rsid w:val="002D68A2"/>
    <w:rsid w:val="002E0AD7"/>
    <w:rsid w:val="002E0D95"/>
    <w:rsid w:val="002E36C3"/>
    <w:rsid w:val="002E41E1"/>
    <w:rsid w:val="002E4702"/>
    <w:rsid w:val="002E54E3"/>
    <w:rsid w:val="002E5DFC"/>
    <w:rsid w:val="003041E8"/>
    <w:rsid w:val="003067DF"/>
    <w:rsid w:val="003068B9"/>
    <w:rsid w:val="00307A74"/>
    <w:rsid w:val="0031108D"/>
    <w:rsid w:val="00313328"/>
    <w:rsid w:val="00314BAC"/>
    <w:rsid w:val="0031594D"/>
    <w:rsid w:val="00317C72"/>
    <w:rsid w:val="00317FA8"/>
    <w:rsid w:val="003262B7"/>
    <w:rsid w:val="00326B9B"/>
    <w:rsid w:val="00336938"/>
    <w:rsid w:val="00336E17"/>
    <w:rsid w:val="00336F26"/>
    <w:rsid w:val="0033711E"/>
    <w:rsid w:val="003400DC"/>
    <w:rsid w:val="003436B1"/>
    <w:rsid w:val="00343A0B"/>
    <w:rsid w:val="003454BC"/>
    <w:rsid w:val="00345C10"/>
    <w:rsid w:val="003469FA"/>
    <w:rsid w:val="00347410"/>
    <w:rsid w:val="003517B0"/>
    <w:rsid w:val="0035277A"/>
    <w:rsid w:val="00354ABD"/>
    <w:rsid w:val="003572AA"/>
    <w:rsid w:val="003608B1"/>
    <w:rsid w:val="00370499"/>
    <w:rsid w:val="00371D1D"/>
    <w:rsid w:val="003721F1"/>
    <w:rsid w:val="003725C1"/>
    <w:rsid w:val="00373B4F"/>
    <w:rsid w:val="00374B7C"/>
    <w:rsid w:val="00375372"/>
    <w:rsid w:val="00376DA6"/>
    <w:rsid w:val="0038022A"/>
    <w:rsid w:val="00380E5C"/>
    <w:rsid w:val="0038290C"/>
    <w:rsid w:val="0038737C"/>
    <w:rsid w:val="0039318F"/>
    <w:rsid w:val="00397941"/>
    <w:rsid w:val="003A4276"/>
    <w:rsid w:val="003A5064"/>
    <w:rsid w:val="003A6009"/>
    <w:rsid w:val="003A7A7A"/>
    <w:rsid w:val="003B2650"/>
    <w:rsid w:val="003B4DE3"/>
    <w:rsid w:val="003B617A"/>
    <w:rsid w:val="003C67EF"/>
    <w:rsid w:val="003D0B72"/>
    <w:rsid w:val="003D2DF6"/>
    <w:rsid w:val="003D3F39"/>
    <w:rsid w:val="003D6263"/>
    <w:rsid w:val="003E4619"/>
    <w:rsid w:val="003E5B8A"/>
    <w:rsid w:val="003F2978"/>
    <w:rsid w:val="003F7A4C"/>
    <w:rsid w:val="004005E4"/>
    <w:rsid w:val="00405B0C"/>
    <w:rsid w:val="004064A2"/>
    <w:rsid w:val="0040758B"/>
    <w:rsid w:val="00411143"/>
    <w:rsid w:val="00414008"/>
    <w:rsid w:val="00417191"/>
    <w:rsid w:val="004179A5"/>
    <w:rsid w:val="00417D1F"/>
    <w:rsid w:val="00417FBE"/>
    <w:rsid w:val="00423FF5"/>
    <w:rsid w:val="00426952"/>
    <w:rsid w:val="0042792C"/>
    <w:rsid w:val="00431CB5"/>
    <w:rsid w:val="00433CD3"/>
    <w:rsid w:val="00435447"/>
    <w:rsid w:val="00435AED"/>
    <w:rsid w:val="00441CC0"/>
    <w:rsid w:val="00441E6D"/>
    <w:rsid w:val="00443699"/>
    <w:rsid w:val="00450B9D"/>
    <w:rsid w:val="00467843"/>
    <w:rsid w:val="004719B2"/>
    <w:rsid w:val="00473402"/>
    <w:rsid w:val="00473C71"/>
    <w:rsid w:val="00475450"/>
    <w:rsid w:val="00475A79"/>
    <w:rsid w:val="00475CD6"/>
    <w:rsid w:val="00482743"/>
    <w:rsid w:val="004837EB"/>
    <w:rsid w:val="0049182B"/>
    <w:rsid w:val="00492515"/>
    <w:rsid w:val="004938DA"/>
    <w:rsid w:val="004956E5"/>
    <w:rsid w:val="00497962"/>
    <w:rsid w:val="004A0A64"/>
    <w:rsid w:val="004A2F3B"/>
    <w:rsid w:val="004A3B0A"/>
    <w:rsid w:val="004A62D6"/>
    <w:rsid w:val="004B01B8"/>
    <w:rsid w:val="004B03CF"/>
    <w:rsid w:val="004B0A88"/>
    <w:rsid w:val="004B32C7"/>
    <w:rsid w:val="004B419F"/>
    <w:rsid w:val="004B5860"/>
    <w:rsid w:val="004B7CA1"/>
    <w:rsid w:val="004B7E12"/>
    <w:rsid w:val="004B7E51"/>
    <w:rsid w:val="004C472C"/>
    <w:rsid w:val="004C4D4D"/>
    <w:rsid w:val="004C566C"/>
    <w:rsid w:val="004C6574"/>
    <w:rsid w:val="004C662F"/>
    <w:rsid w:val="004C6CB4"/>
    <w:rsid w:val="004C7FBC"/>
    <w:rsid w:val="004D0E33"/>
    <w:rsid w:val="004D3943"/>
    <w:rsid w:val="004D60CC"/>
    <w:rsid w:val="004D69E5"/>
    <w:rsid w:val="004D7FC4"/>
    <w:rsid w:val="004E3462"/>
    <w:rsid w:val="004E34F3"/>
    <w:rsid w:val="004E36E6"/>
    <w:rsid w:val="004E707A"/>
    <w:rsid w:val="004E71AB"/>
    <w:rsid w:val="004E755E"/>
    <w:rsid w:val="004F08BC"/>
    <w:rsid w:val="004F0DA0"/>
    <w:rsid w:val="004F2EA0"/>
    <w:rsid w:val="004F3628"/>
    <w:rsid w:val="004F68B3"/>
    <w:rsid w:val="004F791B"/>
    <w:rsid w:val="00500F01"/>
    <w:rsid w:val="00501AB2"/>
    <w:rsid w:val="00501BEB"/>
    <w:rsid w:val="00501C2D"/>
    <w:rsid w:val="005073F1"/>
    <w:rsid w:val="005116DA"/>
    <w:rsid w:val="00512D9C"/>
    <w:rsid w:val="005141F3"/>
    <w:rsid w:val="00514DB9"/>
    <w:rsid w:val="00514E8B"/>
    <w:rsid w:val="0051735C"/>
    <w:rsid w:val="00532AF9"/>
    <w:rsid w:val="00533A91"/>
    <w:rsid w:val="00535E68"/>
    <w:rsid w:val="00543AB5"/>
    <w:rsid w:val="0054438D"/>
    <w:rsid w:val="00547F07"/>
    <w:rsid w:val="00551F43"/>
    <w:rsid w:val="00552983"/>
    <w:rsid w:val="00553455"/>
    <w:rsid w:val="00556223"/>
    <w:rsid w:val="005600DE"/>
    <w:rsid w:val="0056061F"/>
    <w:rsid w:val="00561FB7"/>
    <w:rsid w:val="00566321"/>
    <w:rsid w:val="00566A2C"/>
    <w:rsid w:val="0056792A"/>
    <w:rsid w:val="005700F3"/>
    <w:rsid w:val="0057094A"/>
    <w:rsid w:val="00572ADE"/>
    <w:rsid w:val="00577A67"/>
    <w:rsid w:val="00577C10"/>
    <w:rsid w:val="005822FA"/>
    <w:rsid w:val="005825A6"/>
    <w:rsid w:val="005831D6"/>
    <w:rsid w:val="00584C55"/>
    <w:rsid w:val="0058664D"/>
    <w:rsid w:val="00590E4D"/>
    <w:rsid w:val="00593656"/>
    <w:rsid w:val="005A33B2"/>
    <w:rsid w:val="005A3B12"/>
    <w:rsid w:val="005A53FC"/>
    <w:rsid w:val="005A6216"/>
    <w:rsid w:val="005B1752"/>
    <w:rsid w:val="005B26BA"/>
    <w:rsid w:val="005B701D"/>
    <w:rsid w:val="005C18D9"/>
    <w:rsid w:val="005C2C96"/>
    <w:rsid w:val="005C2E7D"/>
    <w:rsid w:val="005C393D"/>
    <w:rsid w:val="005C4C38"/>
    <w:rsid w:val="005C5CC0"/>
    <w:rsid w:val="005C738A"/>
    <w:rsid w:val="005C7CA1"/>
    <w:rsid w:val="005D0AAE"/>
    <w:rsid w:val="005D54F4"/>
    <w:rsid w:val="005D5DC3"/>
    <w:rsid w:val="005D63CC"/>
    <w:rsid w:val="005D66C0"/>
    <w:rsid w:val="005E3230"/>
    <w:rsid w:val="005E3B9D"/>
    <w:rsid w:val="005E5731"/>
    <w:rsid w:val="005E6A41"/>
    <w:rsid w:val="005F3037"/>
    <w:rsid w:val="005F6841"/>
    <w:rsid w:val="006011A4"/>
    <w:rsid w:val="006043D4"/>
    <w:rsid w:val="006050D1"/>
    <w:rsid w:val="00605896"/>
    <w:rsid w:val="00605B3E"/>
    <w:rsid w:val="00611F52"/>
    <w:rsid w:val="00616A22"/>
    <w:rsid w:val="006178B4"/>
    <w:rsid w:val="0062158D"/>
    <w:rsid w:val="00623660"/>
    <w:rsid w:val="006245E4"/>
    <w:rsid w:val="00624F27"/>
    <w:rsid w:val="006256E4"/>
    <w:rsid w:val="00627715"/>
    <w:rsid w:val="00627A32"/>
    <w:rsid w:val="00631CFD"/>
    <w:rsid w:val="006362CE"/>
    <w:rsid w:val="00637792"/>
    <w:rsid w:val="0064178C"/>
    <w:rsid w:val="00642E7A"/>
    <w:rsid w:val="00645C6E"/>
    <w:rsid w:val="006473EC"/>
    <w:rsid w:val="00650065"/>
    <w:rsid w:val="00651DF7"/>
    <w:rsid w:val="006525F5"/>
    <w:rsid w:val="006544F9"/>
    <w:rsid w:val="0065493D"/>
    <w:rsid w:val="0065504B"/>
    <w:rsid w:val="00657D92"/>
    <w:rsid w:val="00664169"/>
    <w:rsid w:val="006669B9"/>
    <w:rsid w:val="0067094A"/>
    <w:rsid w:val="00670EE6"/>
    <w:rsid w:val="00672DD2"/>
    <w:rsid w:val="0067390F"/>
    <w:rsid w:val="00677801"/>
    <w:rsid w:val="006802BC"/>
    <w:rsid w:val="00680389"/>
    <w:rsid w:val="00680C76"/>
    <w:rsid w:val="00682DE5"/>
    <w:rsid w:val="00684A9E"/>
    <w:rsid w:val="00685F30"/>
    <w:rsid w:val="006877E5"/>
    <w:rsid w:val="0069137D"/>
    <w:rsid w:val="00693F05"/>
    <w:rsid w:val="0069572D"/>
    <w:rsid w:val="0069756C"/>
    <w:rsid w:val="006A0669"/>
    <w:rsid w:val="006A1957"/>
    <w:rsid w:val="006A2160"/>
    <w:rsid w:val="006A7577"/>
    <w:rsid w:val="006A7669"/>
    <w:rsid w:val="006B0F9C"/>
    <w:rsid w:val="006B0FDC"/>
    <w:rsid w:val="006B1D77"/>
    <w:rsid w:val="006B2CF7"/>
    <w:rsid w:val="006B4931"/>
    <w:rsid w:val="006B67DF"/>
    <w:rsid w:val="006C0395"/>
    <w:rsid w:val="006C1FD0"/>
    <w:rsid w:val="006C5669"/>
    <w:rsid w:val="006D28B7"/>
    <w:rsid w:val="006D2AB4"/>
    <w:rsid w:val="006D4F08"/>
    <w:rsid w:val="006D6181"/>
    <w:rsid w:val="006D6725"/>
    <w:rsid w:val="006E3D86"/>
    <w:rsid w:val="006E4FCE"/>
    <w:rsid w:val="006F0D68"/>
    <w:rsid w:val="006F138C"/>
    <w:rsid w:val="006F354D"/>
    <w:rsid w:val="006F511E"/>
    <w:rsid w:val="00700176"/>
    <w:rsid w:val="00700ECD"/>
    <w:rsid w:val="007021DB"/>
    <w:rsid w:val="00711F91"/>
    <w:rsid w:val="00714220"/>
    <w:rsid w:val="00714749"/>
    <w:rsid w:val="00715B1E"/>
    <w:rsid w:val="00715C0C"/>
    <w:rsid w:val="00717C77"/>
    <w:rsid w:val="00722492"/>
    <w:rsid w:val="007225CB"/>
    <w:rsid w:val="0072495F"/>
    <w:rsid w:val="0072602B"/>
    <w:rsid w:val="00726D90"/>
    <w:rsid w:val="0072711D"/>
    <w:rsid w:val="00733700"/>
    <w:rsid w:val="00733DFE"/>
    <w:rsid w:val="00735F62"/>
    <w:rsid w:val="007411F2"/>
    <w:rsid w:val="00741AC7"/>
    <w:rsid w:val="00742B1D"/>
    <w:rsid w:val="007466B2"/>
    <w:rsid w:val="007542BF"/>
    <w:rsid w:val="00763011"/>
    <w:rsid w:val="0076342A"/>
    <w:rsid w:val="00770376"/>
    <w:rsid w:val="007715E5"/>
    <w:rsid w:val="0077226F"/>
    <w:rsid w:val="00776447"/>
    <w:rsid w:val="00776B71"/>
    <w:rsid w:val="007773B2"/>
    <w:rsid w:val="0078194E"/>
    <w:rsid w:val="00782EA1"/>
    <w:rsid w:val="00783480"/>
    <w:rsid w:val="00786ABD"/>
    <w:rsid w:val="00792A1C"/>
    <w:rsid w:val="007947CB"/>
    <w:rsid w:val="007A021E"/>
    <w:rsid w:val="007A2BEA"/>
    <w:rsid w:val="007A6C3C"/>
    <w:rsid w:val="007B0DD6"/>
    <w:rsid w:val="007B17B7"/>
    <w:rsid w:val="007B1996"/>
    <w:rsid w:val="007B1AB2"/>
    <w:rsid w:val="007B244C"/>
    <w:rsid w:val="007B55B1"/>
    <w:rsid w:val="007C3393"/>
    <w:rsid w:val="007C47A8"/>
    <w:rsid w:val="007C5495"/>
    <w:rsid w:val="007D3308"/>
    <w:rsid w:val="007D3F05"/>
    <w:rsid w:val="007E28E4"/>
    <w:rsid w:val="007E2D4A"/>
    <w:rsid w:val="007E6BF2"/>
    <w:rsid w:val="007F365F"/>
    <w:rsid w:val="007F473B"/>
    <w:rsid w:val="0080011E"/>
    <w:rsid w:val="00800D5E"/>
    <w:rsid w:val="00803BA3"/>
    <w:rsid w:val="00810451"/>
    <w:rsid w:val="008109EF"/>
    <w:rsid w:val="00812E94"/>
    <w:rsid w:val="008150EF"/>
    <w:rsid w:val="00817CD2"/>
    <w:rsid w:val="0082084C"/>
    <w:rsid w:val="00827326"/>
    <w:rsid w:val="00827545"/>
    <w:rsid w:val="008302AA"/>
    <w:rsid w:val="008415C3"/>
    <w:rsid w:val="00842351"/>
    <w:rsid w:val="008537C3"/>
    <w:rsid w:val="00856C54"/>
    <w:rsid w:val="00857B87"/>
    <w:rsid w:val="00860E1F"/>
    <w:rsid w:val="00861516"/>
    <w:rsid w:val="008623E9"/>
    <w:rsid w:val="00862D03"/>
    <w:rsid w:val="00874A81"/>
    <w:rsid w:val="00874DCA"/>
    <w:rsid w:val="008764EF"/>
    <w:rsid w:val="00876B98"/>
    <w:rsid w:val="00883E01"/>
    <w:rsid w:val="0088451F"/>
    <w:rsid w:val="00886A8F"/>
    <w:rsid w:val="00890B8F"/>
    <w:rsid w:val="0089222C"/>
    <w:rsid w:val="00892E06"/>
    <w:rsid w:val="00895F0D"/>
    <w:rsid w:val="008A2170"/>
    <w:rsid w:val="008A40AA"/>
    <w:rsid w:val="008A58B8"/>
    <w:rsid w:val="008A7267"/>
    <w:rsid w:val="008A7908"/>
    <w:rsid w:val="008B21B3"/>
    <w:rsid w:val="008B65AC"/>
    <w:rsid w:val="008C0085"/>
    <w:rsid w:val="008C2FA4"/>
    <w:rsid w:val="008C3A77"/>
    <w:rsid w:val="008C44B3"/>
    <w:rsid w:val="008C5FFE"/>
    <w:rsid w:val="008D12B4"/>
    <w:rsid w:val="008D162F"/>
    <w:rsid w:val="008D1B02"/>
    <w:rsid w:val="008D37F3"/>
    <w:rsid w:val="008D6221"/>
    <w:rsid w:val="008D7028"/>
    <w:rsid w:val="008E0D58"/>
    <w:rsid w:val="008E15D6"/>
    <w:rsid w:val="008E1B76"/>
    <w:rsid w:val="008E21E2"/>
    <w:rsid w:val="008E26AB"/>
    <w:rsid w:val="008E2E38"/>
    <w:rsid w:val="008E4CC7"/>
    <w:rsid w:val="008E65B4"/>
    <w:rsid w:val="008F092E"/>
    <w:rsid w:val="008F2650"/>
    <w:rsid w:val="008F2EEA"/>
    <w:rsid w:val="008F385D"/>
    <w:rsid w:val="00900754"/>
    <w:rsid w:val="00903229"/>
    <w:rsid w:val="00905F89"/>
    <w:rsid w:val="00914762"/>
    <w:rsid w:val="00914C50"/>
    <w:rsid w:val="00917F28"/>
    <w:rsid w:val="00927643"/>
    <w:rsid w:val="00933093"/>
    <w:rsid w:val="00934338"/>
    <w:rsid w:val="00937EEC"/>
    <w:rsid w:val="00943AC7"/>
    <w:rsid w:val="00946224"/>
    <w:rsid w:val="00954B90"/>
    <w:rsid w:val="00957545"/>
    <w:rsid w:val="00960CB5"/>
    <w:rsid w:val="00961DB8"/>
    <w:rsid w:val="009629C8"/>
    <w:rsid w:val="0096410A"/>
    <w:rsid w:val="009677C2"/>
    <w:rsid w:val="009700E1"/>
    <w:rsid w:val="009705FD"/>
    <w:rsid w:val="00980936"/>
    <w:rsid w:val="00982007"/>
    <w:rsid w:val="00982666"/>
    <w:rsid w:val="0098367C"/>
    <w:rsid w:val="0098664A"/>
    <w:rsid w:val="0098743D"/>
    <w:rsid w:val="00990B1E"/>
    <w:rsid w:val="009912FD"/>
    <w:rsid w:val="00991F54"/>
    <w:rsid w:val="0099791E"/>
    <w:rsid w:val="009A2567"/>
    <w:rsid w:val="009A68C5"/>
    <w:rsid w:val="009B4CE4"/>
    <w:rsid w:val="009B56EF"/>
    <w:rsid w:val="009B783C"/>
    <w:rsid w:val="009C1394"/>
    <w:rsid w:val="009C1973"/>
    <w:rsid w:val="009C2110"/>
    <w:rsid w:val="009C31EF"/>
    <w:rsid w:val="009C4DF2"/>
    <w:rsid w:val="009C525D"/>
    <w:rsid w:val="009C5BFA"/>
    <w:rsid w:val="009C6FDF"/>
    <w:rsid w:val="009D19E8"/>
    <w:rsid w:val="009D5BA6"/>
    <w:rsid w:val="009D5D1B"/>
    <w:rsid w:val="009D6C0B"/>
    <w:rsid w:val="009E0020"/>
    <w:rsid w:val="009E4FDC"/>
    <w:rsid w:val="009E5F8B"/>
    <w:rsid w:val="009E65A6"/>
    <w:rsid w:val="009E6B78"/>
    <w:rsid w:val="009F014D"/>
    <w:rsid w:val="009F129C"/>
    <w:rsid w:val="009F1968"/>
    <w:rsid w:val="009F2064"/>
    <w:rsid w:val="009F467A"/>
    <w:rsid w:val="009F47DA"/>
    <w:rsid w:val="009F5B14"/>
    <w:rsid w:val="009F5D11"/>
    <w:rsid w:val="009F71A6"/>
    <w:rsid w:val="00A00DD9"/>
    <w:rsid w:val="00A00E9A"/>
    <w:rsid w:val="00A01C1B"/>
    <w:rsid w:val="00A03F8C"/>
    <w:rsid w:val="00A04210"/>
    <w:rsid w:val="00A0484F"/>
    <w:rsid w:val="00A04E25"/>
    <w:rsid w:val="00A05BF1"/>
    <w:rsid w:val="00A12DD5"/>
    <w:rsid w:val="00A16649"/>
    <w:rsid w:val="00A203F3"/>
    <w:rsid w:val="00A222D9"/>
    <w:rsid w:val="00A2288E"/>
    <w:rsid w:val="00A24A01"/>
    <w:rsid w:val="00A2675F"/>
    <w:rsid w:val="00A343D4"/>
    <w:rsid w:val="00A35E63"/>
    <w:rsid w:val="00A454C6"/>
    <w:rsid w:val="00A51CE7"/>
    <w:rsid w:val="00A531B2"/>
    <w:rsid w:val="00A531BD"/>
    <w:rsid w:val="00A5504B"/>
    <w:rsid w:val="00A6698C"/>
    <w:rsid w:val="00A675A4"/>
    <w:rsid w:val="00A70E05"/>
    <w:rsid w:val="00A70EC3"/>
    <w:rsid w:val="00A70EED"/>
    <w:rsid w:val="00A736E5"/>
    <w:rsid w:val="00A80E1A"/>
    <w:rsid w:val="00A811DA"/>
    <w:rsid w:val="00A83BCC"/>
    <w:rsid w:val="00A862A8"/>
    <w:rsid w:val="00A901A6"/>
    <w:rsid w:val="00A904C6"/>
    <w:rsid w:val="00A91E95"/>
    <w:rsid w:val="00A92B18"/>
    <w:rsid w:val="00A92CAA"/>
    <w:rsid w:val="00A94FF0"/>
    <w:rsid w:val="00AA19E5"/>
    <w:rsid w:val="00AA3F7C"/>
    <w:rsid w:val="00AA5828"/>
    <w:rsid w:val="00AA747C"/>
    <w:rsid w:val="00AA7F35"/>
    <w:rsid w:val="00AB0403"/>
    <w:rsid w:val="00AB10B9"/>
    <w:rsid w:val="00AB1E8B"/>
    <w:rsid w:val="00AB4BF4"/>
    <w:rsid w:val="00AC5E41"/>
    <w:rsid w:val="00AD1569"/>
    <w:rsid w:val="00AD2DBD"/>
    <w:rsid w:val="00AD397C"/>
    <w:rsid w:val="00AE2C99"/>
    <w:rsid w:val="00AE6A4E"/>
    <w:rsid w:val="00AF223D"/>
    <w:rsid w:val="00AF4114"/>
    <w:rsid w:val="00AF4208"/>
    <w:rsid w:val="00AF4AC9"/>
    <w:rsid w:val="00AF616F"/>
    <w:rsid w:val="00B021FA"/>
    <w:rsid w:val="00B1029F"/>
    <w:rsid w:val="00B11B7D"/>
    <w:rsid w:val="00B12135"/>
    <w:rsid w:val="00B14AD1"/>
    <w:rsid w:val="00B15BEC"/>
    <w:rsid w:val="00B20F06"/>
    <w:rsid w:val="00B23197"/>
    <w:rsid w:val="00B2600D"/>
    <w:rsid w:val="00B308EA"/>
    <w:rsid w:val="00B32552"/>
    <w:rsid w:val="00B3627F"/>
    <w:rsid w:val="00B403C1"/>
    <w:rsid w:val="00B5273E"/>
    <w:rsid w:val="00B5357D"/>
    <w:rsid w:val="00B53C95"/>
    <w:rsid w:val="00B66A9D"/>
    <w:rsid w:val="00B73E4F"/>
    <w:rsid w:val="00B76170"/>
    <w:rsid w:val="00B77A4C"/>
    <w:rsid w:val="00B846AB"/>
    <w:rsid w:val="00B858D5"/>
    <w:rsid w:val="00B93E4A"/>
    <w:rsid w:val="00B9730C"/>
    <w:rsid w:val="00BA113A"/>
    <w:rsid w:val="00BA701E"/>
    <w:rsid w:val="00BA722C"/>
    <w:rsid w:val="00BB0C54"/>
    <w:rsid w:val="00BB3748"/>
    <w:rsid w:val="00BB397B"/>
    <w:rsid w:val="00BB6F2B"/>
    <w:rsid w:val="00BC5DF0"/>
    <w:rsid w:val="00BC6D23"/>
    <w:rsid w:val="00BC7D60"/>
    <w:rsid w:val="00BD1678"/>
    <w:rsid w:val="00BE06DD"/>
    <w:rsid w:val="00BE177C"/>
    <w:rsid w:val="00BE480E"/>
    <w:rsid w:val="00BF4404"/>
    <w:rsid w:val="00C04922"/>
    <w:rsid w:val="00C05172"/>
    <w:rsid w:val="00C068FA"/>
    <w:rsid w:val="00C1143E"/>
    <w:rsid w:val="00C11A64"/>
    <w:rsid w:val="00C128EC"/>
    <w:rsid w:val="00C13970"/>
    <w:rsid w:val="00C1510D"/>
    <w:rsid w:val="00C152F2"/>
    <w:rsid w:val="00C17ECF"/>
    <w:rsid w:val="00C17F49"/>
    <w:rsid w:val="00C212C5"/>
    <w:rsid w:val="00C21317"/>
    <w:rsid w:val="00C2189A"/>
    <w:rsid w:val="00C23E71"/>
    <w:rsid w:val="00C347A5"/>
    <w:rsid w:val="00C4326E"/>
    <w:rsid w:val="00C440CC"/>
    <w:rsid w:val="00C45D23"/>
    <w:rsid w:val="00C47210"/>
    <w:rsid w:val="00C513CE"/>
    <w:rsid w:val="00C52082"/>
    <w:rsid w:val="00C536E8"/>
    <w:rsid w:val="00C573E8"/>
    <w:rsid w:val="00C574AE"/>
    <w:rsid w:val="00C6151E"/>
    <w:rsid w:val="00C63201"/>
    <w:rsid w:val="00C64FF9"/>
    <w:rsid w:val="00C65DF2"/>
    <w:rsid w:val="00C66903"/>
    <w:rsid w:val="00C72B98"/>
    <w:rsid w:val="00C746F0"/>
    <w:rsid w:val="00C7473F"/>
    <w:rsid w:val="00C74B17"/>
    <w:rsid w:val="00C75F05"/>
    <w:rsid w:val="00C85959"/>
    <w:rsid w:val="00C900C7"/>
    <w:rsid w:val="00C90DF7"/>
    <w:rsid w:val="00CA0C96"/>
    <w:rsid w:val="00CA1816"/>
    <w:rsid w:val="00CA37FD"/>
    <w:rsid w:val="00CA5719"/>
    <w:rsid w:val="00CA58FC"/>
    <w:rsid w:val="00CA5F38"/>
    <w:rsid w:val="00CB08FE"/>
    <w:rsid w:val="00CB1EE8"/>
    <w:rsid w:val="00CB4671"/>
    <w:rsid w:val="00CB4AF9"/>
    <w:rsid w:val="00CB768A"/>
    <w:rsid w:val="00CC2173"/>
    <w:rsid w:val="00CC25A4"/>
    <w:rsid w:val="00CD1217"/>
    <w:rsid w:val="00CD12C6"/>
    <w:rsid w:val="00CD1E68"/>
    <w:rsid w:val="00CD1E76"/>
    <w:rsid w:val="00CD5829"/>
    <w:rsid w:val="00CD6497"/>
    <w:rsid w:val="00CD6BEF"/>
    <w:rsid w:val="00CE4A10"/>
    <w:rsid w:val="00D00F00"/>
    <w:rsid w:val="00D032F0"/>
    <w:rsid w:val="00D039D4"/>
    <w:rsid w:val="00D04459"/>
    <w:rsid w:val="00D06402"/>
    <w:rsid w:val="00D06519"/>
    <w:rsid w:val="00D0671C"/>
    <w:rsid w:val="00D11111"/>
    <w:rsid w:val="00D141EB"/>
    <w:rsid w:val="00D14D14"/>
    <w:rsid w:val="00D2617C"/>
    <w:rsid w:val="00D26EDE"/>
    <w:rsid w:val="00D2770A"/>
    <w:rsid w:val="00D27EBA"/>
    <w:rsid w:val="00D30760"/>
    <w:rsid w:val="00D30EB4"/>
    <w:rsid w:val="00D3201C"/>
    <w:rsid w:val="00D4337B"/>
    <w:rsid w:val="00D46C3C"/>
    <w:rsid w:val="00D47F68"/>
    <w:rsid w:val="00D55301"/>
    <w:rsid w:val="00D56BCA"/>
    <w:rsid w:val="00D576AB"/>
    <w:rsid w:val="00D579C4"/>
    <w:rsid w:val="00D60B71"/>
    <w:rsid w:val="00D614D5"/>
    <w:rsid w:val="00D63045"/>
    <w:rsid w:val="00D64577"/>
    <w:rsid w:val="00D665D2"/>
    <w:rsid w:val="00D67A11"/>
    <w:rsid w:val="00D70380"/>
    <w:rsid w:val="00D72818"/>
    <w:rsid w:val="00D7394D"/>
    <w:rsid w:val="00D73BE7"/>
    <w:rsid w:val="00D74032"/>
    <w:rsid w:val="00D743D9"/>
    <w:rsid w:val="00D75B6C"/>
    <w:rsid w:val="00D80D1D"/>
    <w:rsid w:val="00D80DD3"/>
    <w:rsid w:val="00D84451"/>
    <w:rsid w:val="00D85F62"/>
    <w:rsid w:val="00D8603C"/>
    <w:rsid w:val="00D87FD4"/>
    <w:rsid w:val="00D92BDC"/>
    <w:rsid w:val="00D94847"/>
    <w:rsid w:val="00D975CD"/>
    <w:rsid w:val="00DA1ECD"/>
    <w:rsid w:val="00DA353B"/>
    <w:rsid w:val="00DA6DA4"/>
    <w:rsid w:val="00DB0D24"/>
    <w:rsid w:val="00DB2EC9"/>
    <w:rsid w:val="00DB2F0F"/>
    <w:rsid w:val="00DB3A78"/>
    <w:rsid w:val="00DB7F74"/>
    <w:rsid w:val="00DC0AD4"/>
    <w:rsid w:val="00DC0E8C"/>
    <w:rsid w:val="00DC1188"/>
    <w:rsid w:val="00DC3AE3"/>
    <w:rsid w:val="00DC6032"/>
    <w:rsid w:val="00DD587E"/>
    <w:rsid w:val="00DD5D5E"/>
    <w:rsid w:val="00DD7FA4"/>
    <w:rsid w:val="00DE4762"/>
    <w:rsid w:val="00DE72A7"/>
    <w:rsid w:val="00DF2C96"/>
    <w:rsid w:val="00DF4DFA"/>
    <w:rsid w:val="00DF50D8"/>
    <w:rsid w:val="00E02CFD"/>
    <w:rsid w:val="00E02E11"/>
    <w:rsid w:val="00E118DF"/>
    <w:rsid w:val="00E1355D"/>
    <w:rsid w:val="00E140FD"/>
    <w:rsid w:val="00E14A0F"/>
    <w:rsid w:val="00E157ED"/>
    <w:rsid w:val="00E159E7"/>
    <w:rsid w:val="00E15B06"/>
    <w:rsid w:val="00E24796"/>
    <w:rsid w:val="00E27875"/>
    <w:rsid w:val="00E31FC3"/>
    <w:rsid w:val="00E34120"/>
    <w:rsid w:val="00E362E2"/>
    <w:rsid w:val="00E36DFA"/>
    <w:rsid w:val="00E42423"/>
    <w:rsid w:val="00E42BC4"/>
    <w:rsid w:val="00E43B44"/>
    <w:rsid w:val="00E473A6"/>
    <w:rsid w:val="00E47B16"/>
    <w:rsid w:val="00E50A39"/>
    <w:rsid w:val="00E515B0"/>
    <w:rsid w:val="00E54A06"/>
    <w:rsid w:val="00E56D1E"/>
    <w:rsid w:val="00E57FA4"/>
    <w:rsid w:val="00E602C2"/>
    <w:rsid w:val="00E61187"/>
    <w:rsid w:val="00E6255C"/>
    <w:rsid w:val="00E643F2"/>
    <w:rsid w:val="00E6500E"/>
    <w:rsid w:val="00E657DD"/>
    <w:rsid w:val="00E66478"/>
    <w:rsid w:val="00E7175D"/>
    <w:rsid w:val="00E72905"/>
    <w:rsid w:val="00E77C5D"/>
    <w:rsid w:val="00E81341"/>
    <w:rsid w:val="00E81FCD"/>
    <w:rsid w:val="00E877CC"/>
    <w:rsid w:val="00E90ACB"/>
    <w:rsid w:val="00E96A71"/>
    <w:rsid w:val="00EA19D1"/>
    <w:rsid w:val="00EA5878"/>
    <w:rsid w:val="00EA6787"/>
    <w:rsid w:val="00EB2528"/>
    <w:rsid w:val="00EB6F91"/>
    <w:rsid w:val="00EC1FB4"/>
    <w:rsid w:val="00EC2E98"/>
    <w:rsid w:val="00EC4E25"/>
    <w:rsid w:val="00ED1CEF"/>
    <w:rsid w:val="00ED1E34"/>
    <w:rsid w:val="00EE2A70"/>
    <w:rsid w:val="00EE37F7"/>
    <w:rsid w:val="00EE4737"/>
    <w:rsid w:val="00EE641C"/>
    <w:rsid w:val="00EE7275"/>
    <w:rsid w:val="00EF47D5"/>
    <w:rsid w:val="00EF5927"/>
    <w:rsid w:val="00EF5C18"/>
    <w:rsid w:val="00EF641A"/>
    <w:rsid w:val="00EF649D"/>
    <w:rsid w:val="00F00567"/>
    <w:rsid w:val="00F03042"/>
    <w:rsid w:val="00F03808"/>
    <w:rsid w:val="00F05B91"/>
    <w:rsid w:val="00F1585F"/>
    <w:rsid w:val="00F158AE"/>
    <w:rsid w:val="00F201AC"/>
    <w:rsid w:val="00F21A15"/>
    <w:rsid w:val="00F25318"/>
    <w:rsid w:val="00F30BBC"/>
    <w:rsid w:val="00F332EA"/>
    <w:rsid w:val="00F350DF"/>
    <w:rsid w:val="00F37CB6"/>
    <w:rsid w:val="00F4104B"/>
    <w:rsid w:val="00F410E0"/>
    <w:rsid w:val="00F43954"/>
    <w:rsid w:val="00F43D0B"/>
    <w:rsid w:val="00F44AFC"/>
    <w:rsid w:val="00F53A9E"/>
    <w:rsid w:val="00F545C8"/>
    <w:rsid w:val="00F57364"/>
    <w:rsid w:val="00F63343"/>
    <w:rsid w:val="00F67B9D"/>
    <w:rsid w:val="00F70EAF"/>
    <w:rsid w:val="00F70F27"/>
    <w:rsid w:val="00F71543"/>
    <w:rsid w:val="00F74630"/>
    <w:rsid w:val="00F74EEC"/>
    <w:rsid w:val="00F819C1"/>
    <w:rsid w:val="00F82306"/>
    <w:rsid w:val="00F82541"/>
    <w:rsid w:val="00F82779"/>
    <w:rsid w:val="00F85A36"/>
    <w:rsid w:val="00F93B5A"/>
    <w:rsid w:val="00F9457F"/>
    <w:rsid w:val="00F95854"/>
    <w:rsid w:val="00FA0A94"/>
    <w:rsid w:val="00FA1991"/>
    <w:rsid w:val="00FA1C87"/>
    <w:rsid w:val="00FA1DB9"/>
    <w:rsid w:val="00FA45FA"/>
    <w:rsid w:val="00FA7464"/>
    <w:rsid w:val="00FA7FB3"/>
    <w:rsid w:val="00FB1949"/>
    <w:rsid w:val="00FB2725"/>
    <w:rsid w:val="00FB2B80"/>
    <w:rsid w:val="00FC7CF5"/>
    <w:rsid w:val="00FD390B"/>
    <w:rsid w:val="00FD70D1"/>
    <w:rsid w:val="00FE00F0"/>
    <w:rsid w:val="00FE23AB"/>
    <w:rsid w:val="00FE5725"/>
    <w:rsid w:val="00FE6E52"/>
    <w:rsid w:val="00FF0408"/>
    <w:rsid w:val="00FF1568"/>
    <w:rsid w:val="00FF277F"/>
    <w:rsid w:val="00FF6F3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34"/>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customStyle="1" w:styleId="Default">
    <w:name w:val="Default"/>
    <w:rsid w:val="00034265"/>
    <w:pPr>
      <w:autoSpaceDE w:val="0"/>
      <w:autoSpaceDN w:val="0"/>
      <w:adjustRightInd w:val="0"/>
    </w:pPr>
    <w:rPr>
      <w:rFonts w:ascii="Times New Roman" w:hAnsi="Times New Roman"/>
      <w:color w:val="000000"/>
      <w:sz w:val="24"/>
      <w:szCs w:val="24"/>
    </w:rPr>
  </w:style>
  <w:style w:type="character" w:styleId="Hyperlink">
    <w:name w:val="Hyperlink"/>
    <w:basedOn w:val="Fontepargpadro"/>
    <w:uiPriority w:val="99"/>
    <w:unhideWhenUsed/>
    <w:rsid w:val="00C45D23"/>
    <w:rPr>
      <w:color w:val="0000FF" w:themeColor="hyperlink"/>
      <w:u w:val="single"/>
    </w:rPr>
  </w:style>
  <w:style w:type="table" w:styleId="Tabelacomgrade">
    <w:name w:val="Table Grid"/>
    <w:basedOn w:val="Tabelanormal"/>
    <w:uiPriority w:val="59"/>
    <w:rsid w:val="00AF42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117736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9364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rasgovernamentais.go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ortal.tcu.gov.br/biblioteca-digital/preco-de-referencia-em-compras-publicas-enfase-em-medicamentos.htm" TargetMode="External"/><Relationship Id="rId4" Type="http://schemas.openxmlformats.org/officeDocument/2006/relationships/settings" Target="settings.xml"/><Relationship Id="rId9" Type="http://schemas.openxmlformats.org/officeDocument/2006/relationships/hyperlink" Target="http://www.comprasgovernamentais.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68FD5-36A5-4F6F-80CB-67A973CF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3479</Words>
  <Characters>18789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8</cp:revision>
  <cp:lastPrinted>2017-10-24T20:00:00Z</cp:lastPrinted>
  <dcterms:created xsi:type="dcterms:W3CDTF">2017-10-24T00:32:00Z</dcterms:created>
  <dcterms:modified xsi:type="dcterms:W3CDTF">2017-10-25T12:37:00Z</dcterms:modified>
</cp:coreProperties>
</file>