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E467C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PROCESSO</w:t>
      </w:r>
      <w:r w:rsidRPr="00E467CC">
        <w:rPr>
          <w:rFonts w:asciiTheme="minorHAnsi" w:hAnsiTheme="minorHAnsi" w:cstheme="minorHAnsi"/>
          <w:bCs/>
        </w:rPr>
        <w:t>: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5C738A" w:rsidRPr="00E467CC">
        <w:rPr>
          <w:rFonts w:asciiTheme="minorHAnsi" w:hAnsiTheme="minorHAnsi" w:cstheme="minorHAnsi"/>
          <w:b/>
          <w:bCs/>
        </w:rPr>
        <w:t>n º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8B10E2">
        <w:rPr>
          <w:rFonts w:asciiTheme="minorHAnsi" w:hAnsiTheme="minorHAnsi" w:cstheme="minorHAnsi"/>
          <w:bCs/>
        </w:rPr>
        <w:t>2000.</w:t>
      </w:r>
      <w:r w:rsidR="00F506D4">
        <w:rPr>
          <w:rFonts w:asciiTheme="minorHAnsi" w:hAnsiTheme="minorHAnsi" w:cstheme="minorHAnsi"/>
          <w:bCs/>
        </w:rPr>
        <w:t>29411</w:t>
      </w:r>
      <w:r w:rsidR="00FA0070" w:rsidRPr="00E467CC">
        <w:rPr>
          <w:rFonts w:asciiTheme="minorHAnsi" w:hAnsiTheme="minorHAnsi" w:cstheme="minorHAnsi"/>
          <w:bCs/>
        </w:rPr>
        <w:t>/2015</w:t>
      </w:r>
      <w:r w:rsidR="00A343DB" w:rsidRPr="00E467CC">
        <w:rPr>
          <w:rFonts w:asciiTheme="minorHAnsi" w:hAnsiTheme="minorHAnsi" w:cstheme="minorHAnsi"/>
          <w:bCs/>
        </w:rPr>
        <w:t>, com anexos:</w:t>
      </w:r>
    </w:p>
    <w:p w:rsidR="00475A79" w:rsidRPr="00E467C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I</w:t>
      </w:r>
      <w:r w:rsidR="00443699" w:rsidRPr="00E467CC">
        <w:rPr>
          <w:rFonts w:asciiTheme="minorHAnsi" w:hAnsiTheme="minorHAnsi" w:cstheme="minorHAnsi"/>
          <w:b/>
          <w:bCs/>
        </w:rPr>
        <w:t>NTERESSADO:</w:t>
      </w:r>
      <w:r w:rsidR="00443699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Secretaria de Estado da Saúde - SESAU</w:t>
      </w:r>
    </w:p>
    <w:p w:rsidR="00296284" w:rsidRPr="00E467C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Assunto:</w:t>
      </w:r>
      <w:r w:rsidR="00226ED4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Pagamento de despesas de exercícios anteriores (materiais de limpeza)</w:t>
      </w:r>
      <w:r w:rsidR="00550116" w:rsidRPr="00E467CC">
        <w:rPr>
          <w:rFonts w:asciiTheme="minorHAnsi" w:hAnsiTheme="minorHAnsi" w:cstheme="minorHAnsi"/>
          <w:bCs/>
        </w:rPr>
        <w:t>.</w:t>
      </w:r>
    </w:p>
    <w:p w:rsidR="003C0E5D" w:rsidRPr="00E467C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467C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Trata-se d</w:t>
      </w:r>
      <w:r w:rsidR="00FA0070" w:rsidRPr="00E467CC">
        <w:rPr>
          <w:rFonts w:asciiTheme="minorHAnsi" w:hAnsiTheme="minorHAnsi" w:cstheme="minorHAnsi"/>
        </w:rPr>
        <w:t>o</w:t>
      </w:r>
      <w:r w:rsidRPr="00E467CC">
        <w:rPr>
          <w:rFonts w:asciiTheme="minorHAnsi" w:hAnsiTheme="minorHAnsi" w:cstheme="minorHAnsi"/>
        </w:rPr>
        <w:t xml:space="preserve"> Processo Administrativo nº </w:t>
      </w:r>
      <w:r w:rsidR="00FA0070" w:rsidRPr="00E467CC">
        <w:rPr>
          <w:rFonts w:asciiTheme="minorHAnsi" w:hAnsiTheme="minorHAnsi" w:cstheme="minorHAnsi"/>
          <w:bCs/>
        </w:rPr>
        <w:t>2000.</w:t>
      </w:r>
      <w:r w:rsidR="00F506D4">
        <w:rPr>
          <w:rFonts w:asciiTheme="minorHAnsi" w:hAnsiTheme="minorHAnsi" w:cstheme="minorHAnsi"/>
          <w:bCs/>
        </w:rPr>
        <w:t>29411</w:t>
      </w:r>
      <w:r w:rsidR="00FA0070" w:rsidRPr="00E467CC">
        <w:rPr>
          <w:rFonts w:asciiTheme="minorHAnsi" w:hAnsiTheme="minorHAnsi" w:cstheme="minorHAnsi"/>
          <w:bCs/>
        </w:rPr>
        <w:t>/2015</w:t>
      </w:r>
      <w:r w:rsidR="00314693" w:rsidRPr="00E467CC">
        <w:rPr>
          <w:rFonts w:asciiTheme="minorHAnsi" w:hAnsiTheme="minorHAnsi" w:cstheme="minorHAnsi"/>
          <w:bCs/>
        </w:rPr>
        <w:t xml:space="preserve">, </w:t>
      </w:r>
      <w:r w:rsidR="00733DFE" w:rsidRPr="00E467CC">
        <w:rPr>
          <w:rFonts w:asciiTheme="minorHAnsi" w:hAnsiTheme="minorHAnsi" w:cstheme="minorHAnsi"/>
        </w:rPr>
        <w:t>em 0</w:t>
      </w:r>
      <w:r w:rsidR="00475A79" w:rsidRPr="00E467CC">
        <w:rPr>
          <w:rFonts w:asciiTheme="minorHAnsi" w:hAnsiTheme="minorHAnsi" w:cstheme="minorHAnsi"/>
        </w:rPr>
        <w:t>1</w:t>
      </w:r>
      <w:r w:rsidRPr="00E467CC">
        <w:rPr>
          <w:rFonts w:asciiTheme="minorHAnsi" w:hAnsiTheme="minorHAnsi" w:cstheme="minorHAnsi"/>
        </w:rPr>
        <w:t xml:space="preserve"> (</w:t>
      </w:r>
      <w:r w:rsidR="00475A79" w:rsidRPr="00E467CC">
        <w:rPr>
          <w:rFonts w:asciiTheme="minorHAnsi" w:hAnsiTheme="minorHAnsi" w:cstheme="minorHAnsi"/>
        </w:rPr>
        <w:t>um</w:t>
      </w:r>
      <w:r w:rsidR="00226ED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volume, com </w:t>
      </w:r>
      <w:r w:rsidR="006E6F72">
        <w:rPr>
          <w:rFonts w:asciiTheme="minorHAnsi" w:hAnsiTheme="minorHAnsi" w:cstheme="minorHAnsi"/>
        </w:rPr>
        <w:t>44</w:t>
      </w:r>
      <w:r w:rsidR="00DE72A7" w:rsidRPr="00E467CC">
        <w:rPr>
          <w:rFonts w:asciiTheme="minorHAnsi" w:hAnsiTheme="minorHAnsi" w:cstheme="minorHAnsi"/>
        </w:rPr>
        <w:t xml:space="preserve"> </w:t>
      </w:r>
      <w:r w:rsidR="00733DFE" w:rsidRPr="00E467CC">
        <w:rPr>
          <w:rFonts w:asciiTheme="minorHAnsi" w:hAnsiTheme="minorHAnsi" w:cstheme="minorHAnsi"/>
        </w:rPr>
        <w:t>(</w:t>
      </w:r>
      <w:r w:rsidR="00FA0070" w:rsidRPr="00E467CC">
        <w:rPr>
          <w:rFonts w:asciiTheme="minorHAnsi" w:hAnsiTheme="minorHAnsi" w:cstheme="minorHAnsi"/>
        </w:rPr>
        <w:t xml:space="preserve">quarenta e </w:t>
      </w:r>
      <w:r w:rsidR="006E6F72">
        <w:rPr>
          <w:rFonts w:asciiTheme="minorHAnsi" w:hAnsiTheme="minorHAnsi" w:cstheme="minorHAnsi"/>
        </w:rPr>
        <w:t>quatro</w:t>
      </w:r>
      <w:r w:rsidR="004C657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fls.,</w:t>
      </w:r>
      <w:r w:rsidR="008F2650" w:rsidRPr="00E467CC">
        <w:rPr>
          <w:rFonts w:asciiTheme="minorHAnsi" w:hAnsiTheme="minorHAnsi" w:cstheme="minorHAnsi"/>
        </w:rPr>
        <w:t xml:space="preserve"> </w:t>
      </w:r>
      <w:r w:rsidR="002170BB" w:rsidRPr="00E467CC">
        <w:rPr>
          <w:rFonts w:asciiTheme="minorHAnsi" w:hAnsiTheme="minorHAnsi" w:cstheme="minorHAnsi"/>
        </w:rPr>
        <w:t xml:space="preserve">que </w:t>
      </w:r>
      <w:r w:rsidR="00E96A71" w:rsidRPr="00E467CC">
        <w:rPr>
          <w:rFonts w:asciiTheme="minorHAnsi" w:hAnsiTheme="minorHAnsi" w:cstheme="minorHAnsi"/>
        </w:rPr>
        <w:t>versa sobre</w:t>
      </w:r>
      <w:r w:rsidR="002170BB" w:rsidRPr="00E467CC">
        <w:rPr>
          <w:rFonts w:asciiTheme="minorHAnsi" w:hAnsiTheme="minorHAnsi" w:cstheme="minorHAnsi"/>
        </w:rPr>
        <w:t xml:space="preserve"> </w:t>
      </w:r>
      <w:r w:rsidR="00FA0070" w:rsidRPr="00E467CC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FA0070" w:rsidRPr="00E467CC">
        <w:rPr>
          <w:rFonts w:asciiTheme="minorHAnsi" w:hAnsiTheme="minorHAnsi" w:cstheme="minorHAnsi"/>
          <w:b/>
        </w:rPr>
        <w:t>SM Comércio de Papéis Ltda. ME</w:t>
      </w:r>
      <w:r w:rsidR="00FA0070" w:rsidRPr="00E467CC">
        <w:rPr>
          <w:rFonts w:asciiTheme="minorHAnsi" w:hAnsiTheme="minorHAnsi" w:cstheme="minorHAnsi"/>
        </w:rPr>
        <w:t xml:space="preserve"> (CNPJ 07.162.066/0001-27) para atendimento das necessidades apresentadas pela sede do órgão referido, bem como das unidades de saúde a ele vinculadas. A solicitação de pagamento está orçada em </w:t>
      </w:r>
      <w:r w:rsidR="006E6F72" w:rsidRPr="00E467CC">
        <w:rPr>
          <w:rFonts w:asciiTheme="minorHAnsi" w:hAnsiTheme="minorHAnsi" w:cstheme="minorHAnsi"/>
          <w:b/>
        </w:rPr>
        <w:t>R$ 7.</w:t>
      </w:r>
      <w:r w:rsidR="0043453C">
        <w:rPr>
          <w:rFonts w:asciiTheme="minorHAnsi" w:hAnsiTheme="minorHAnsi" w:cstheme="minorHAnsi"/>
          <w:b/>
        </w:rPr>
        <w:t>425</w:t>
      </w:r>
      <w:r w:rsidR="006E6F72" w:rsidRPr="00E467CC">
        <w:rPr>
          <w:rFonts w:asciiTheme="minorHAnsi" w:hAnsiTheme="minorHAnsi" w:cstheme="minorHAnsi"/>
          <w:b/>
        </w:rPr>
        <w:t xml:space="preserve">,00 (sete mil, </w:t>
      </w:r>
      <w:r w:rsidR="0043453C">
        <w:rPr>
          <w:rFonts w:asciiTheme="minorHAnsi" w:hAnsiTheme="minorHAnsi" w:cstheme="minorHAnsi"/>
          <w:b/>
        </w:rPr>
        <w:t xml:space="preserve">quatrocentos e vinte e cinco </w:t>
      </w:r>
      <w:r w:rsidR="006E6F72" w:rsidRPr="00E467CC">
        <w:rPr>
          <w:rFonts w:asciiTheme="minorHAnsi" w:hAnsiTheme="minorHAnsi" w:cstheme="minorHAnsi"/>
          <w:b/>
        </w:rPr>
        <w:t>reais)</w:t>
      </w:r>
      <w:r w:rsidR="006E6F72" w:rsidRPr="00E467CC">
        <w:rPr>
          <w:rFonts w:asciiTheme="minorHAnsi" w:hAnsiTheme="minorHAnsi" w:cstheme="minorHAnsi"/>
        </w:rPr>
        <w:t>.</w:t>
      </w:r>
    </w:p>
    <w:p w:rsidR="00740F8A" w:rsidRPr="00E467C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467CC">
        <w:rPr>
          <w:rFonts w:asciiTheme="minorHAnsi" w:hAnsiTheme="minorHAnsi" w:cstheme="minorHAnsi"/>
        </w:rPr>
        <w:t>. Entretanto,</w:t>
      </w:r>
      <w:r w:rsidR="00740F8A" w:rsidRPr="00E467C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E467C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Nesse sentido, em atendimento ao Despacho PGE-PLIC nº </w:t>
      </w:r>
      <w:r w:rsidR="0043453C">
        <w:rPr>
          <w:rFonts w:asciiTheme="minorHAnsi" w:hAnsiTheme="minorHAnsi" w:cstheme="minorHAnsi"/>
        </w:rPr>
        <w:t>1078</w:t>
      </w:r>
      <w:r w:rsidRPr="00E467CC">
        <w:rPr>
          <w:rFonts w:asciiTheme="minorHAnsi" w:hAnsiTheme="minorHAnsi" w:cstheme="minorHAnsi"/>
        </w:rPr>
        <w:t xml:space="preserve">/2017, aprovado pelo Despacho PGE-PLIC-CD nº </w:t>
      </w:r>
      <w:r w:rsidR="0043453C">
        <w:rPr>
          <w:rFonts w:asciiTheme="minorHAnsi" w:hAnsiTheme="minorHAnsi" w:cstheme="minorHAnsi"/>
        </w:rPr>
        <w:t>1064</w:t>
      </w:r>
      <w:r w:rsidRPr="00E467CC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E467CC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E467C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1</w:t>
      </w:r>
      <w:r w:rsidR="001D3764" w:rsidRPr="00E467CC">
        <w:rPr>
          <w:rFonts w:asciiTheme="minorHAnsi" w:hAnsiTheme="minorHAnsi" w:cstheme="minorHAnsi"/>
          <w:b/>
        </w:rPr>
        <w:t xml:space="preserve"> - RELATÓRIO</w:t>
      </w:r>
    </w:p>
    <w:p w:rsidR="001D3764" w:rsidRPr="00E467C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467CC">
        <w:rPr>
          <w:rFonts w:asciiTheme="minorHAnsi" w:hAnsiTheme="minorHAnsi" w:cstheme="minorHAnsi"/>
          <w:b/>
          <w:u w:val="single"/>
        </w:rPr>
        <w:t>–</w:t>
      </w:r>
      <w:r w:rsidRPr="00E467C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E467C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A análise dos autos sob o nº </w:t>
      </w:r>
      <w:r w:rsidR="00655B5D" w:rsidRPr="00E467CC">
        <w:rPr>
          <w:rFonts w:asciiTheme="minorHAnsi" w:hAnsiTheme="minorHAnsi" w:cstheme="minorHAnsi"/>
          <w:bCs/>
        </w:rPr>
        <w:t>2000.</w:t>
      </w:r>
      <w:r w:rsidR="0043453C">
        <w:rPr>
          <w:rFonts w:asciiTheme="minorHAnsi" w:hAnsiTheme="minorHAnsi" w:cstheme="minorHAnsi"/>
          <w:bCs/>
        </w:rPr>
        <w:t>29411</w:t>
      </w:r>
      <w:r w:rsidR="00655B5D" w:rsidRPr="00E467CC">
        <w:rPr>
          <w:rFonts w:asciiTheme="minorHAnsi" w:hAnsiTheme="minorHAnsi" w:cstheme="minorHAnsi"/>
          <w:bCs/>
        </w:rPr>
        <w:t>/2015</w:t>
      </w:r>
      <w:r w:rsidR="00445F26" w:rsidRPr="00E467CC">
        <w:rPr>
          <w:rFonts w:asciiTheme="minorHAnsi" w:hAnsiTheme="minorHAnsi" w:cstheme="minorHAnsi"/>
          <w:bCs/>
        </w:rPr>
        <w:t xml:space="preserve"> </w:t>
      </w:r>
      <w:r w:rsidRPr="00E467CC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E467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467C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E467C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467C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   </w:t>
      </w:r>
    </w:p>
    <w:p w:rsidR="00475450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467CC">
        <w:rPr>
          <w:rFonts w:asciiTheme="minorHAnsi" w:hAnsiTheme="minorHAnsi" w:cstheme="minorHAnsi"/>
          <w:i/>
        </w:rPr>
        <w:t>“análise e emissão de parecer técnico”</w:t>
      </w:r>
      <w:r w:rsidR="00A343D4" w:rsidRPr="00E467CC">
        <w:rPr>
          <w:rFonts w:asciiTheme="minorHAnsi" w:hAnsiTheme="minorHAnsi" w:cstheme="minorHAnsi"/>
          <w:i/>
        </w:rPr>
        <w:t xml:space="preserve">, </w:t>
      </w:r>
      <w:r w:rsidR="00A343D4" w:rsidRPr="00E467CC">
        <w:rPr>
          <w:rFonts w:asciiTheme="minorHAnsi" w:hAnsiTheme="minorHAnsi" w:cstheme="minorHAnsi"/>
        </w:rPr>
        <w:t xml:space="preserve">conforme requerido pela </w:t>
      </w:r>
      <w:r w:rsidR="00A70EC3" w:rsidRPr="00E467CC">
        <w:rPr>
          <w:rFonts w:asciiTheme="minorHAnsi" w:hAnsiTheme="minorHAnsi" w:cstheme="minorHAnsi"/>
        </w:rPr>
        <w:t xml:space="preserve">Assessora Técnica da </w:t>
      </w:r>
      <w:r w:rsidR="00A343D4" w:rsidRPr="00E467CC">
        <w:rPr>
          <w:rFonts w:asciiTheme="minorHAnsi" w:hAnsiTheme="minorHAnsi" w:cstheme="minorHAnsi"/>
        </w:rPr>
        <w:t>Su</w:t>
      </w:r>
      <w:r w:rsidR="00062E34" w:rsidRPr="00E467CC">
        <w:rPr>
          <w:rFonts w:asciiTheme="minorHAnsi" w:hAnsiTheme="minorHAnsi" w:cstheme="minorHAnsi"/>
        </w:rPr>
        <w:t>perintendência de Auditagem (fl</w:t>
      </w:r>
      <w:r w:rsidR="00A343D4" w:rsidRPr="00E467CC">
        <w:rPr>
          <w:rFonts w:asciiTheme="minorHAnsi" w:hAnsiTheme="minorHAnsi" w:cstheme="minorHAnsi"/>
        </w:rPr>
        <w:t>.</w:t>
      </w:r>
      <w:r w:rsidR="000639BC" w:rsidRPr="00E467CC">
        <w:rPr>
          <w:rFonts w:asciiTheme="minorHAnsi" w:hAnsiTheme="minorHAnsi" w:cstheme="minorHAnsi"/>
        </w:rPr>
        <w:t xml:space="preserve"> </w:t>
      </w:r>
      <w:r w:rsidR="006E6F72">
        <w:rPr>
          <w:rFonts w:asciiTheme="minorHAnsi" w:hAnsiTheme="minorHAnsi" w:cstheme="minorHAnsi"/>
        </w:rPr>
        <w:t>44</w:t>
      </w:r>
      <w:r w:rsidR="00A343D4" w:rsidRPr="00E467CC">
        <w:rPr>
          <w:rFonts w:asciiTheme="minorHAnsi" w:hAnsiTheme="minorHAnsi" w:cstheme="minorHAnsi"/>
        </w:rPr>
        <w:t>)</w:t>
      </w:r>
      <w:r w:rsidR="00004D84" w:rsidRPr="00E467CC">
        <w:rPr>
          <w:rFonts w:asciiTheme="minorHAnsi" w:hAnsiTheme="minorHAnsi" w:cstheme="minorHAnsi"/>
        </w:rPr>
        <w:t>.</w:t>
      </w:r>
    </w:p>
    <w:p w:rsidR="009D6AF5" w:rsidRDefault="009D6AF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P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6A1957" w:rsidRPr="00E467CC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2.1.</w:t>
      </w:r>
      <w:r w:rsidR="00934338" w:rsidRPr="00E467CC">
        <w:rPr>
          <w:rFonts w:asciiTheme="minorHAnsi" w:hAnsiTheme="minorHAnsi" w:cstheme="minorHAnsi"/>
          <w:b/>
        </w:rPr>
        <w:t xml:space="preserve"> </w:t>
      </w:r>
      <w:r w:rsidR="00A343DB" w:rsidRPr="00E467CC">
        <w:rPr>
          <w:rFonts w:asciiTheme="minorHAnsi" w:hAnsiTheme="minorHAnsi" w:cstheme="minorHAnsi"/>
          <w:b/>
        </w:rPr>
        <w:t>DO EMPENHO</w:t>
      </w:r>
      <w:r w:rsidR="00A343DB" w:rsidRPr="00E467CC">
        <w:rPr>
          <w:rFonts w:asciiTheme="minorHAnsi" w:hAnsiTheme="minorHAnsi" w:cstheme="minorHAnsi"/>
        </w:rPr>
        <w:t xml:space="preserve">. </w:t>
      </w:r>
    </w:p>
    <w:p w:rsidR="00A343DB" w:rsidRPr="00E467CC" w:rsidRDefault="00A343D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Nos termos do art. 58 da Lei nº 4.320/1664, </w:t>
      </w:r>
      <w:r w:rsidRPr="00E467CC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E467CC">
        <w:rPr>
          <w:rFonts w:asciiTheme="minorHAnsi" w:hAnsiTheme="minorHAnsi" w:cstheme="minorHAnsi"/>
        </w:rPr>
        <w:t xml:space="preserve">. Nesse sentido, importa destacar que </w:t>
      </w:r>
      <w:r w:rsidR="00005B6C" w:rsidRPr="00E467CC">
        <w:rPr>
          <w:rFonts w:asciiTheme="minorHAnsi" w:hAnsiTheme="minorHAnsi" w:cstheme="minorHAnsi"/>
        </w:rPr>
        <w:t>a emissão da Nota de Empenho (</w:t>
      </w:r>
      <w:r w:rsidR="00005B6C" w:rsidRPr="00E467CC">
        <w:rPr>
          <w:rFonts w:asciiTheme="minorHAnsi" w:hAnsiTheme="minorHAnsi" w:cstheme="minorHAnsi"/>
          <w:b/>
        </w:rPr>
        <w:t>2016NE</w:t>
      </w:r>
      <w:r w:rsidR="0043453C">
        <w:rPr>
          <w:rFonts w:asciiTheme="minorHAnsi" w:hAnsiTheme="minorHAnsi" w:cstheme="minorHAnsi"/>
          <w:b/>
        </w:rPr>
        <w:t>20912</w:t>
      </w:r>
      <w:r w:rsidR="00005B6C" w:rsidRPr="00E467CC">
        <w:rPr>
          <w:rFonts w:asciiTheme="minorHAnsi" w:hAnsiTheme="minorHAnsi" w:cstheme="minorHAnsi"/>
        </w:rPr>
        <w:t>)</w:t>
      </w:r>
      <w:r w:rsidR="006701C7" w:rsidRPr="00E467CC">
        <w:rPr>
          <w:rFonts w:asciiTheme="minorHAnsi" w:hAnsiTheme="minorHAnsi" w:cstheme="minorHAnsi"/>
        </w:rPr>
        <w:t xml:space="preserve">, à fl. </w:t>
      </w:r>
      <w:r w:rsidR="006E6F72">
        <w:rPr>
          <w:rFonts w:asciiTheme="minorHAnsi" w:hAnsiTheme="minorHAnsi" w:cstheme="minorHAnsi"/>
        </w:rPr>
        <w:t>18</w:t>
      </w:r>
      <w:r w:rsidR="006701C7" w:rsidRPr="00E467CC">
        <w:rPr>
          <w:rFonts w:asciiTheme="minorHAnsi" w:hAnsiTheme="minorHAnsi" w:cstheme="minorHAnsi"/>
        </w:rPr>
        <w:t>, não possui assinatura da ordenadora de despesa</w:t>
      </w:r>
      <w:r w:rsidR="0028701C" w:rsidRPr="00E467CC">
        <w:rPr>
          <w:rFonts w:asciiTheme="minorHAnsi" w:hAnsiTheme="minorHAnsi" w:cstheme="minorHAnsi"/>
        </w:rPr>
        <w:t>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28701C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 DA LIQUIDAÇÃO</w:t>
      </w:r>
      <w:r w:rsidRPr="00E467CC">
        <w:rPr>
          <w:rFonts w:asciiTheme="minorHAnsi" w:hAnsiTheme="minorHAnsi" w:cstheme="minorHAnsi"/>
        </w:rPr>
        <w:t xml:space="preserve">. </w:t>
      </w:r>
    </w:p>
    <w:p w:rsidR="00AC43A0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 Lei nº 4.320/1664 define a liquidação de despesas como sendo </w:t>
      </w:r>
      <w:r w:rsidRPr="00E467CC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E467CC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</w:t>
      </w:r>
      <w:r w:rsidR="00AC43A0" w:rsidRPr="00E467CC">
        <w:rPr>
          <w:rFonts w:asciiTheme="minorHAnsi" w:hAnsiTheme="minorHAnsi" w:cstheme="minorHAnsi"/>
        </w:rPr>
        <w:t>ia para extinguir a obrigação.</w:t>
      </w:r>
    </w:p>
    <w:p w:rsidR="0028701C" w:rsidRPr="00E467CC" w:rsidRDefault="00AC43A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Acerca da regularidade na liquidação da despesa ora analisada dois aspectos carecem de ponderação, quais sejam: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2.2.1. Indícios de conluio entre as partes contratantes</w:t>
      </w:r>
      <w:r w:rsidRPr="00E467CC">
        <w:rPr>
          <w:rFonts w:asciiTheme="minorHAnsi" w:hAnsiTheme="minorHAnsi" w:cstheme="minorHAnsi"/>
        </w:rPr>
        <w:t>, com manipulação de preços em favor da contratada, verificados nos processos de contratação da empresa SM Comércio de Papéis Ltda. ME (CNPJ 07.162.066/0001-27)</w:t>
      </w:r>
      <w:r w:rsidRPr="00E467CC">
        <w:rPr>
          <w:rStyle w:val="Refdenotaderodap"/>
          <w:rFonts w:asciiTheme="minorHAnsi" w:hAnsiTheme="minorHAnsi" w:cstheme="minorHAnsi"/>
        </w:rPr>
        <w:footnoteReference w:id="2"/>
      </w:r>
      <w:r w:rsidRPr="00E467CC">
        <w:rPr>
          <w:rFonts w:asciiTheme="minorHAnsi" w:hAnsiTheme="minorHAnsi" w:cstheme="minorHAnsi"/>
        </w:rPr>
        <w:t>, onde esta figurava vencedora dos itens cotados, um segundo concorrent</w:t>
      </w:r>
      <w:r w:rsidR="00A96FA3" w:rsidRPr="00E467CC">
        <w:rPr>
          <w:rFonts w:asciiTheme="minorHAnsi" w:hAnsiTheme="minorHAnsi" w:cstheme="minorHAnsi"/>
        </w:rPr>
        <w:t xml:space="preserve">e com cotações intermediárias (Flex Comercial Empreendedor – CNPJ 15.192.447/0001-87) e um terceiro com apresentação de preços mais elevados (Soluções Comércio de Papelaria e Informática Ltda – ME). </w:t>
      </w:r>
    </w:p>
    <w:p w:rsidR="001E42C0" w:rsidRPr="00E467CC" w:rsidRDefault="001E42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ME recebeu do Estado de Alagoas, através da SESAU, o montante de R$ 453.954,46, distribuídos em 53 ordens bancárias, dentre as quais 52 possuem totais abaixo do limite de dispensa de licitação em razão do valor (R$ 8.000,00).</w:t>
      </w:r>
    </w:p>
    <w:p w:rsidR="00E467CC" w:rsidRDefault="00E467CC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9F5BB9" w:rsidRPr="00E467CC" w:rsidRDefault="00A96FA3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2.2.2. Violação ao princípio de segregação das funções</w:t>
      </w:r>
      <w:r w:rsidRPr="00E467CC">
        <w:rPr>
          <w:rFonts w:asciiTheme="minorHAnsi" w:hAnsiTheme="minorHAnsi" w:cstheme="minorHAnsi"/>
        </w:rPr>
        <w:t xml:space="preserve">, </w:t>
      </w:r>
      <w:r w:rsidR="009F5BB9" w:rsidRPr="00E467CC">
        <w:rPr>
          <w:rFonts w:asciiTheme="minorHAnsi" w:hAnsiTheme="minorHAnsi" w:cstheme="minorHAnsi"/>
        </w:rPr>
        <w:t xml:space="preserve">defendida pelo Tribunal de Contas da União como sendo o </w:t>
      </w:r>
      <w:r w:rsidR="009F5BB9" w:rsidRPr="00E467CC">
        <w:rPr>
          <w:rFonts w:asciiTheme="minorHAnsi" w:hAnsiTheme="minorHAnsi" w:cstheme="minorHAnsi"/>
          <w:i/>
        </w:rPr>
        <w:t xml:space="preserve">princípio básico do sistema de controle interno que consiste na separação de funções, nomeadamente de autorização, aprovação, execução, controle e contabilização das operações. </w:t>
      </w:r>
      <w:r w:rsidR="009F5BB9" w:rsidRPr="00E467CC">
        <w:rPr>
          <w:rFonts w:asciiTheme="minorHAnsi" w:hAnsiTheme="minorHAnsi" w:cstheme="minorHAnsi"/>
        </w:rPr>
        <w:t xml:space="preserve">O TCU adverte, ainda, a separação da execução das fases inerentes às despesas públicas, quais sejam empenho, liquidação e pagamento, por serem os atos que, de fato, possibilitariam ganhos a terceiros. </w:t>
      </w:r>
    </w:p>
    <w:p w:rsidR="009F5BB9" w:rsidRPr="00E467CC" w:rsidRDefault="009F5BB9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No processo em tela verifica-se a acumulação de atos administrativos</w:t>
      </w:r>
      <w:r w:rsidR="001E42C0" w:rsidRPr="00E467CC">
        <w:rPr>
          <w:rFonts w:asciiTheme="minorHAnsi" w:hAnsiTheme="minorHAnsi" w:cstheme="minorHAnsi"/>
        </w:rPr>
        <w:t xml:space="preserve"> pela servidora Mônica Lins Medeiros, Superintendente Administrativa</w:t>
      </w:r>
      <w:r w:rsidRPr="00E467CC">
        <w:rPr>
          <w:rFonts w:asciiTheme="minorHAnsi" w:hAnsiTheme="minorHAnsi" w:cstheme="minorHAnsi"/>
        </w:rPr>
        <w:t xml:space="preserve">, quais sejam: a) apresentação da necessidade administrativa em 26.10.2015; </w:t>
      </w:r>
      <w:r w:rsidR="008B10E2">
        <w:rPr>
          <w:rFonts w:asciiTheme="minorHAnsi" w:hAnsiTheme="minorHAnsi" w:cstheme="minorHAnsi"/>
        </w:rPr>
        <w:t>b</w:t>
      </w:r>
      <w:r w:rsidR="001E42C0" w:rsidRPr="00E467CC">
        <w:rPr>
          <w:rFonts w:asciiTheme="minorHAnsi" w:hAnsiTheme="minorHAnsi" w:cstheme="minorHAnsi"/>
        </w:rPr>
        <w:t xml:space="preserve">) atesto de recebimento dos bens contratados em </w:t>
      </w:r>
      <w:r w:rsidR="008B10E2">
        <w:rPr>
          <w:rFonts w:asciiTheme="minorHAnsi" w:hAnsiTheme="minorHAnsi" w:cstheme="minorHAnsi"/>
        </w:rPr>
        <w:t>09</w:t>
      </w:r>
      <w:r w:rsidR="001E42C0" w:rsidRPr="00E467CC">
        <w:rPr>
          <w:rFonts w:asciiTheme="minorHAnsi" w:hAnsiTheme="minorHAnsi" w:cstheme="minorHAnsi"/>
        </w:rPr>
        <w:t xml:space="preserve">.01.2017; e </w:t>
      </w:r>
      <w:r w:rsidR="008B10E2">
        <w:rPr>
          <w:rFonts w:asciiTheme="minorHAnsi" w:hAnsiTheme="minorHAnsi" w:cstheme="minorHAnsi"/>
        </w:rPr>
        <w:t>c</w:t>
      </w:r>
      <w:r w:rsidR="001E42C0" w:rsidRPr="00E467CC">
        <w:rPr>
          <w:rFonts w:asciiTheme="minorHAnsi" w:hAnsiTheme="minorHAnsi" w:cstheme="minorHAnsi"/>
        </w:rPr>
        <w:t xml:space="preserve">) solicitação de pagamento da despesa em </w:t>
      </w:r>
      <w:r w:rsidR="0043453C">
        <w:rPr>
          <w:rFonts w:asciiTheme="minorHAnsi" w:hAnsiTheme="minorHAnsi" w:cstheme="minorHAnsi"/>
        </w:rPr>
        <w:t>10</w:t>
      </w:r>
      <w:r w:rsidR="001E42C0" w:rsidRPr="00E467CC">
        <w:rPr>
          <w:rFonts w:asciiTheme="minorHAnsi" w:hAnsiTheme="minorHAnsi" w:cstheme="minorHAnsi"/>
        </w:rPr>
        <w:t xml:space="preserve">.01.2017. </w:t>
      </w:r>
    </w:p>
    <w:p w:rsidR="009F5BB9" w:rsidRDefault="009F5BB9" w:rsidP="00A96F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2.3. DO PAGAMENTO</w:t>
      </w:r>
      <w:r w:rsidRPr="00E467CC">
        <w:rPr>
          <w:rFonts w:asciiTheme="minorHAnsi" w:hAnsiTheme="minorHAnsi" w:cstheme="minorHAnsi"/>
        </w:rPr>
        <w:t xml:space="preserve">. </w:t>
      </w: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 pagamento da despesa pública</w:t>
      </w:r>
      <w:r w:rsidR="00792E3A" w:rsidRPr="00E467CC">
        <w:rPr>
          <w:rFonts w:asciiTheme="minorHAnsi" w:hAnsiTheme="minorHAnsi" w:cstheme="minorHAnsi"/>
        </w:rPr>
        <w:t xml:space="preserve"> encerra o ciclo orçamentário e sucede o reconhecimento da dívida através do processo de liquidação.</w:t>
      </w:r>
    </w:p>
    <w:p w:rsidR="00792E3A" w:rsidRPr="00E467CC" w:rsidRDefault="00792E3A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Ocorre que a legitimidade do documento que atesta a efetiva entrega dos bens resta fragilizada, ante a possível ocorrência de fraude do processo de contratação, conforme já tratado anteriormente.</w:t>
      </w: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2.4. DO ATENDIMENTO AO DECRETO Nº 51.282/2017</w:t>
      </w:r>
      <w:r w:rsidRPr="00E467CC">
        <w:rPr>
          <w:rFonts w:asciiTheme="minorHAnsi" w:hAnsiTheme="minorHAnsi" w:cstheme="minorHAnsi"/>
        </w:rPr>
        <w:t xml:space="preserve">. </w:t>
      </w:r>
    </w:p>
    <w:p w:rsidR="00FF18D9" w:rsidRPr="00E467CC" w:rsidRDefault="00FF18D9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Realizadas as considerações acima, passamos a analisar a observância do Decreto nº 51.282, publicado no DOE de 27 de janeiro de 2017, que dispõe sobre a execução orçamentária, financeira, patrimonial e contábil do Estado de Alagoas para o exercício financeiro de 2017.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E467CC">
        <w:rPr>
          <w:rFonts w:asciiTheme="minorHAnsi" w:hAnsiTheme="minorHAnsi" w:cstheme="minorHAnsi"/>
          <w:i/>
        </w:rPr>
        <w:t>in verbis: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b/>
          <w:bCs/>
          <w:sz w:val="22"/>
          <w:szCs w:val="22"/>
        </w:rPr>
        <w:t xml:space="preserve">Art. 48. </w:t>
      </w:r>
      <w:r w:rsidRPr="00E467CC">
        <w:rPr>
          <w:rFonts w:asciiTheme="minorHAnsi" w:hAnsiTheme="minorHAnsi" w:cstheme="minorHAnsi"/>
          <w:sz w:val="22"/>
          <w:szCs w:val="22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§ 1º O ato de reconhecimento de dívida deve ser precedido: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 – da verificação da existência de dotação orçamentária suficiente para a realização de seu empenho e liquidação no SIAFEM;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 – da estimativa do impacto orçamentário-financeiro da dívida a ser reconhecida no exercício vigente e posteriores, considerando os limites </w:t>
      </w:r>
      <w:r w:rsidRPr="00E467CC">
        <w:rPr>
          <w:rFonts w:asciiTheme="minorHAnsi" w:hAnsiTheme="minorHAnsi" w:cstheme="minorHAnsi"/>
          <w:sz w:val="22"/>
          <w:szCs w:val="22"/>
        </w:rPr>
        <w:lastRenderedPageBreak/>
        <w:t xml:space="preserve">estabelecidos na programação orçamentária e financeira para o exercício vigente;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9F7E1E" w:rsidRPr="00E467CC" w:rsidRDefault="009F7E1E" w:rsidP="009F7E1E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V – da manifestação da Controladoria Geral do Estado e, em caso de dúvida jurídica, da Procuradoria Geral do Estado – PGE sobre a legalidade do pagamento da referida despesa.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Na análise dos autos, resta evidente o descumprimento do que trata o Decreto nº 51.282/2017, nos incisos I, II, III e IV. 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É O RELATÓRIO.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3 - NO MÉRITO</w:t>
      </w:r>
    </w:p>
    <w:p w:rsidR="001D3764" w:rsidRPr="00E467CC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E467CC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3.1. </w:t>
      </w:r>
      <w:r w:rsidR="00C573E8" w:rsidRPr="00E467CC">
        <w:rPr>
          <w:rFonts w:asciiTheme="minorHAnsi" w:hAnsiTheme="minorHAnsi" w:cstheme="minorHAnsi"/>
        </w:rPr>
        <w:t xml:space="preserve">De toda a explanação e detalhamento </w:t>
      </w:r>
      <w:r w:rsidR="00243D2B" w:rsidRPr="00E467CC">
        <w:rPr>
          <w:rFonts w:asciiTheme="minorHAnsi" w:hAnsiTheme="minorHAnsi" w:cstheme="minorHAnsi"/>
        </w:rPr>
        <w:t>processual</w:t>
      </w:r>
      <w:r w:rsidR="00C573E8" w:rsidRPr="00E467CC">
        <w:rPr>
          <w:rFonts w:asciiTheme="minorHAnsi" w:hAnsiTheme="minorHAnsi" w:cstheme="minorHAnsi"/>
        </w:rPr>
        <w:t xml:space="preserve">, contidos no </w:t>
      </w:r>
      <w:r w:rsidR="00C573E8" w:rsidRPr="00E467CC">
        <w:rPr>
          <w:rFonts w:asciiTheme="minorHAnsi" w:hAnsiTheme="minorHAnsi" w:cstheme="minorHAnsi"/>
          <w:b/>
        </w:rPr>
        <w:t>“Exame dos Autos”</w:t>
      </w:r>
      <w:r w:rsidR="00C573E8" w:rsidRPr="00E467CC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E467CC">
        <w:rPr>
          <w:rFonts w:asciiTheme="minorHAnsi" w:hAnsiTheme="minorHAnsi" w:cstheme="minorHAnsi"/>
        </w:rPr>
        <w:t>alerte-se para a necessidade de informações</w:t>
      </w:r>
      <w:r w:rsidR="00C573E8" w:rsidRPr="00E467CC">
        <w:rPr>
          <w:rFonts w:asciiTheme="minorHAnsi" w:hAnsiTheme="minorHAnsi" w:cstheme="minorHAnsi"/>
        </w:rPr>
        <w:t>, quais sejam:</w:t>
      </w:r>
    </w:p>
    <w:p w:rsidR="005B1752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NECESSIDADE DE PRONUNCIAMENTO DA PGE</w:t>
      </w:r>
      <w:r w:rsidR="009F7E1E" w:rsidRPr="00E467CC">
        <w:rPr>
          <w:rFonts w:asciiTheme="minorHAnsi" w:hAnsiTheme="minorHAnsi" w:cstheme="minorHAnsi"/>
          <w:b/>
        </w:rPr>
        <w:t xml:space="preserve"> ACERCA DAS QUESTÕES JURÍDICAS CONTROVERSAS</w:t>
      </w:r>
      <w:r w:rsidR="009F7E1E" w:rsidRPr="00E467CC">
        <w:rPr>
          <w:rFonts w:asciiTheme="minorHAnsi" w:hAnsiTheme="minorHAnsi" w:cstheme="minorHAnsi"/>
        </w:rPr>
        <w:t xml:space="preserve">: </w:t>
      </w:r>
      <w:r w:rsidRPr="00E467CC">
        <w:rPr>
          <w:rFonts w:asciiTheme="minorHAnsi" w:hAnsiTheme="minorHAnsi" w:cstheme="minorHAnsi"/>
        </w:rPr>
        <w:t>a.1</w:t>
      </w:r>
      <w:r w:rsidR="009F7E1E" w:rsidRPr="00E467CC">
        <w:rPr>
          <w:rFonts w:asciiTheme="minorHAnsi" w:hAnsiTheme="minorHAnsi" w:cstheme="minorHAnsi"/>
        </w:rPr>
        <w:t xml:space="preserve">) </w:t>
      </w:r>
      <w:r w:rsidRPr="00E467CC">
        <w:rPr>
          <w:rFonts w:asciiTheme="minorHAnsi" w:hAnsiTheme="minorHAnsi" w:cstheme="minorHAnsi"/>
        </w:rPr>
        <w:t>Legalidade da nota de empenho acostada aos autos, haja vista a possível incompetência do servidor público que praticou o ato; e a.2) Necessidade de comprovação da entrega dos bens adquiridos, considerando os indícios de favorecimento da empresa contratada.</w:t>
      </w:r>
      <w:r w:rsidR="00C21B71">
        <w:rPr>
          <w:rFonts w:asciiTheme="minorHAnsi" w:hAnsiTheme="minorHAnsi" w:cstheme="minorHAnsi"/>
        </w:rPr>
        <w:t xml:space="preserve"> </w:t>
      </w:r>
    </w:p>
    <w:p w:rsidR="00A932D4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SANEAMENTO DAS LACUNAS QUE DEMONSTRAM O NÃO CUMPRIMENTO DO DECRETO Nº 51.282/2017:</w:t>
      </w:r>
      <w:r w:rsidRPr="00E467CC">
        <w:rPr>
          <w:rFonts w:asciiTheme="minorHAnsi" w:hAnsiTheme="minorHAnsi" w:cstheme="minorHAnsi"/>
        </w:rPr>
        <w:t xml:space="preserve"> b.1) juntada de informação orçamentária atualizada; b.2) </w:t>
      </w:r>
      <w:r w:rsidR="00E467CC" w:rsidRPr="00E467CC">
        <w:rPr>
          <w:rFonts w:asciiTheme="minorHAnsi" w:hAnsiTheme="minorHAnsi" w:cstheme="minorHAnsi"/>
        </w:rPr>
        <w:t xml:space="preserve">Juntada de </w:t>
      </w:r>
      <w:r w:rsidR="00E467CC" w:rsidRPr="00E467CC">
        <w:rPr>
          <w:rFonts w:asciiTheme="minorHAnsi" w:hAnsiTheme="minorHAnsi" w:cstheme="minorHAnsi"/>
        </w:rPr>
        <w:lastRenderedPageBreak/>
        <w:t>i</w:t>
      </w:r>
      <w:r w:rsidRPr="00E467CC">
        <w:rPr>
          <w:rFonts w:asciiTheme="minorHAnsi" w:hAnsiTheme="minorHAnsi" w:cstheme="minorHAnsi"/>
        </w:rPr>
        <w:t>nformação sobre o impacto orçamentário-financeiro da dívida a ser reconhecida no exercício vigente e posteriores; b.3) Juntada de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b.4) Juntada de declaração com indicação das causas que levaram ao não pagamento da dívida nos exercícios anteriores e, sendo o caso, somente quando presentes razões que apontem o descumprimento de deveres funcionais, da instauração de sindicância para a apuração de responsabilidades</w:t>
      </w:r>
      <w:r w:rsidR="00E467CC" w:rsidRPr="00E467CC">
        <w:rPr>
          <w:rFonts w:asciiTheme="minorHAnsi" w:hAnsiTheme="minorHAnsi" w:cstheme="minorHAnsi"/>
        </w:rPr>
        <w:t xml:space="preserve">, </w:t>
      </w:r>
      <w:r w:rsidR="00E467CC" w:rsidRPr="00E467CC">
        <w:rPr>
          <w:rFonts w:asciiTheme="minorHAnsi" w:hAnsiTheme="minorHAnsi" w:cstheme="minorHAnsi"/>
          <w:b/>
          <w:u w:val="single"/>
        </w:rPr>
        <w:t>devendo ser comprovada nos presentes autos</w:t>
      </w:r>
      <w:r w:rsidR="00E467CC" w:rsidRPr="00E467CC">
        <w:rPr>
          <w:rFonts w:asciiTheme="minorHAnsi" w:hAnsiTheme="minorHAnsi" w:cstheme="minorHAnsi"/>
        </w:rPr>
        <w:t>.</w:t>
      </w:r>
    </w:p>
    <w:p w:rsidR="00E467CC" w:rsidRPr="00E467CC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E467C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4 - CONCLUSÃO</w:t>
      </w:r>
    </w:p>
    <w:p w:rsidR="00C573E8" w:rsidRPr="00E467CC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</w:t>
      </w:r>
    </w:p>
    <w:p w:rsidR="003C41B9" w:rsidRPr="00E467CC" w:rsidRDefault="00C573E8" w:rsidP="003C41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E467CC" w:rsidRPr="00E467CC">
        <w:rPr>
          <w:rFonts w:asciiTheme="minorHAnsi" w:hAnsiTheme="minorHAnsi" w:cstheme="minorHAnsi"/>
        </w:rPr>
        <w:t>s</w:t>
      </w:r>
      <w:r w:rsidRPr="00E467CC">
        <w:rPr>
          <w:rFonts w:asciiTheme="minorHAnsi" w:hAnsiTheme="minorHAnsi" w:cstheme="minorHAnsi"/>
        </w:rPr>
        <w:t xml:space="preserve"> pend</w:t>
      </w:r>
      <w:r w:rsidR="00B53344" w:rsidRPr="00E467CC">
        <w:rPr>
          <w:rFonts w:asciiTheme="minorHAnsi" w:hAnsiTheme="minorHAnsi" w:cstheme="minorHAnsi"/>
        </w:rPr>
        <w:t>ência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processua</w:t>
      </w:r>
      <w:r w:rsidR="00E467CC" w:rsidRPr="00E467CC">
        <w:rPr>
          <w:rFonts w:asciiTheme="minorHAnsi" w:hAnsiTheme="minorHAnsi" w:cstheme="minorHAnsi"/>
        </w:rPr>
        <w:t>is</w:t>
      </w:r>
      <w:r w:rsidR="00B53344" w:rsidRPr="00E467CC">
        <w:rPr>
          <w:rFonts w:asciiTheme="minorHAnsi" w:hAnsiTheme="minorHAnsi" w:cstheme="minorHAnsi"/>
        </w:rPr>
        <w:t xml:space="preserve"> apontada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</w:t>
      </w:r>
      <w:r w:rsidR="00F15790" w:rsidRPr="00E467CC">
        <w:rPr>
          <w:rFonts w:asciiTheme="minorHAnsi" w:hAnsiTheme="minorHAnsi" w:cstheme="minorHAnsi"/>
        </w:rPr>
        <w:t xml:space="preserve">no </w:t>
      </w:r>
      <w:r w:rsidRPr="00E467CC">
        <w:rPr>
          <w:rFonts w:asciiTheme="minorHAnsi" w:hAnsiTheme="minorHAnsi" w:cstheme="minorHAnsi"/>
        </w:rPr>
        <w:t xml:space="preserve">item 3, </w:t>
      </w:r>
      <w:r w:rsidR="00B53344" w:rsidRPr="00E467CC">
        <w:rPr>
          <w:rFonts w:asciiTheme="minorHAnsi" w:hAnsiTheme="minorHAnsi" w:cstheme="minorHAnsi"/>
        </w:rPr>
        <w:t>sub</w:t>
      </w:r>
      <w:r w:rsidRPr="00E467CC">
        <w:rPr>
          <w:rFonts w:asciiTheme="minorHAnsi" w:hAnsiTheme="minorHAnsi" w:cstheme="minorHAnsi"/>
        </w:rPr>
        <w:t>ite</w:t>
      </w:r>
      <w:r w:rsidR="00243D2B" w:rsidRPr="00E467CC">
        <w:rPr>
          <w:rFonts w:asciiTheme="minorHAnsi" w:hAnsiTheme="minorHAnsi" w:cstheme="minorHAnsi"/>
        </w:rPr>
        <w:t>ns</w:t>
      </w:r>
      <w:r w:rsidRPr="00E467CC">
        <w:rPr>
          <w:rFonts w:asciiTheme="minorHAnsi" w:hAnsiTheme="minorHAnsi" w:cstheme="minorHAnsi"/>
        </w:rPr>
        <w:t xml:space="preserve"> </w:t>
      </w:r>
      <w:r w:rsidRPr="00E467CC">
        <w:rPr>
          <w:rFonts w:asciiTheme="minorHAnsi" w:hAnsiTheme="minorHAnsi" w:cstheme="minorHAnsi"/>
          <w:b/>
        </w:rPr>
        <w:t>“a”</w:t>
      </w:r>
      <w:r w:rsidR="00E467CC" w:rsidRPr="00E467CC">
        <w:rPr>
          <w:rFonts w:asciiTheme="minorHAnsi" w:hAnsiTheme="minorHAnsi" w:cstheme="minorHAnsi"/>
          <w:b/>
        </w:rPr>
        <w:t xml:space="preserve"> </w:t>
      </w:r>
      <w:r w:rsidR="00243D2B" w:rsidRPr="00E467CC">
        <w:rPr>
          <w:rFonts w:asciiTheme="minorHAnsi" w:hAnsiTheme="minorHAnsi" w:cstheme="minorHAnsi"/>
          <w:b/>
        </w:rPr>
        <w:t>e “</w:t>
      </w:r>
      <w:r w:rsidR="00E467CC" w:rsidRPr="00E467CC">
        <w:rPr>
          <w:rFonts w:asciiTheme="minorHAnsi" w:hAnsiTheme="minorHAnsi" w:cstheme="minorHAnsi"/>
          <w:b/>
        </w:rPr>
        <w:t>b</w:t>
      </w:r>
      <w:r w:rsidR="00243D2B" w:rsidRPr="00E467CC">
        <w:rPr>
          <w:rFonts w:asciiTheme="minorHAnsi" w:hAnsiTheme="minorHAnsi" w:cstheme="minorHAnsi"/>
          <w:b/>
        </w:rPr>
        <w:t>”</w:t>
      </w:r>
      <w:r w:rsidR="00B53344" w:rsidRPr="00E467CC">
        <w:rPr>
          <w:rFonts w:asciiTheme="minorHAnsi" w:hAnsiTheme="minorHAnsi" w:cstheme="minorHAnsi"/>
        </w:rPr>
        <w:t>.</w:t>
      </w:r>
      <w:r w:rsidR="00B53344" w:rsidRPr="00E467CC">
        <w:rPr>
          <w:rFonts w:asciiTheme="minorHAnsi" w:hAnsiTheme="minorHAnsi" w:cstheme="minorHAnsi"/>
          <w:b/>
        </w:rPr>
        <w:t xml:space="preserve"> </w:t>
      </w:r>
      <w:r w:rsidR="00B53344" w:rsidRPr="00E467CC">
        <w:rPr>
          <w:rFonts w:asciiTheme="minorHAnsi" w:hAnsiTheme="minorHAnsi" w:cstheme="minorHAnsi"/>
        </w:rPr>
        <w:t>A</w:t>
      </w:r>
      <w:r w:rsidRPr="00E467CC">
        <w:rPr>
          <w:rFonts w:asciiTheme="minorHAnsi" w:hAnsiTheme="minorHAnsi" w:cstheme="minorHAnsi"/>
        </w:rPr>
        <w:t xml:space="preserve">to contínuo, que seja </w:t>
      </w:r>
      <w:r w:rsidR="00E467CC" w:rsidRPr="00E467CC">
        <w:rPr>
          <w:rFonts w:asciiTheme="minorHAnsi" w:hAnsiTheme="minorHAnsi" w:cstheme="minorHAnsi"/>
        </w:rPr>
        <w:t>devolvidos os autos à CGE para pronunciamento conclusivo.</w:t>
      </w:r>
    </w:p>
    <w:p w:rsidR="00EE4A87" w:rsidRPr="00E467CC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E467C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Maceió, </w:t>
      </w:r>
      <w:r w:rsidR="0043453C">
        <w:rPr>
          <w:rFonts w:asciiTheme="minorHAnsi" w:hAnsiTheme="minorHAnsi" w:cstheme="minorHAnsi"/>
          <w:bCs/>
        </w:rPr>
        <w:t>05</w:t>
      </w:r>
      <w:r w:rsidRPr="00E467CC">
        <w:rPr>
          <w:rFonts w:asciiTheme="minorHAnsi" w:hAnsiTheme="minorHAnsi" w:cstheme="minorHAnsi"/>
          <w:bCs/>
        </w:rPr>
        <w:t xml:space="preserve"> de </w:t>
      </w:r>
      <w:r w:rsidR="00E467CC" w:rsidRPr="00E467CC">
        <w:rPr>
          <w:rFonts w:asciiTheme="minorHAnsi" w:hAnsiTheme="minorHAnsi" w:cstheme="minorHAnsi"/>
          <w:bCs/>
        </w:rPr>
        <w:t>junho</w:t>
      </w:r>
      <w:r w:rsidRPr="00E467CC">
        <w:rPr>
          <w:rFonts w:asciiTheme="minorHAnsi" w:hAnsiTheme="minorHAnsi" w:cstheme="minorHAnsi"/>
          <w:bCs/>
        </w:rPr>
        <w:t xml:space="preserve"> de 201</w:t>
      </w:r>
      <w:r w:rsidR="00A70EC3" w:rsidRPr="00E467CC">
        <w:rPr>
          <w:rFonts w:asciiTheme="minorHAnsi" w:hAnsiTheme="minorHAnsi" w:cstheme="minorHAnsi"/>
          <w:bCs/>
        </w:rPr>
        <w:t>7</w:t>
      </w:r>
      <w:r w:rsidRPr="00E467CC">
        <w:rPr>
          <w:rFonts w:asciiTheme="minorHAnsi" w:hAnsiTheme="minorHAnsi" w:cstheme="minorHAnsi"/>
          <w:bCs/>
        </w:rPr>
        <w:t>.</w:t>
      </w:r>
    </w:p>
    <w:p w:rsidR="00794CC1" w:rsidRPr="00E467C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467CC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467CC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E467C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Assessor de Controle Interno/ Matrícula nº </w:t>
      </w:r>
      <w:r w:rsidR="00B53344" w:rsidRPr="00E467CC">
        <w:rPr>
          <w:rFonts w:asciiTheme="minorHAnsi" w:hAnsiTheme="minorHAnsi" w:cstheme="minorHAnsi"/>
          <w:b/>
        </w:rPr>
        <w:t>62.</w:t>
      </w:r>
      <w:r w:rsidR="00243D2B" w:rsidRPr="00E467CC">
        <w:rPr>
          <w:rFonts w:asciiTheme="minorHAnsi" w:hAnsiTheme="minorHAnsi" w:cstheme="minorHAnsi"/>
          <w:b/>
        </w:rPr>
        <w:t>868</w:t>
      </w:r>
      <w:r w:rsidR="00B53344" w:rsidRPr="00E467CC">
        <w:rPr>
          <w:rFonts w:asciiTheme="minorHAnsi" w:hAnsiTheme="minorHAnsi" w:cstheme="minorHAnsi"/>
          <w:b/>
        </w:rPr>
        <w:t>-4</w:t>
      </w:r>
    </w:p>
    <w:p w:rsidR="008B65AC" w:rsidRPr="00E467C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467C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De acordo:</w:t>
      </w:r>
    </w:p>
    <w:p w:rsidR="001D3764" w:rsidRPr="00E467C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Adriana Andrade Araújo </w:t>
      </w:r>
    </w:p>
    <w:p w:rsidR="00BA113A" w:rsidRPr="00E467C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467C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467C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405" w:rsidRDefault="00427405" w:rsidP="003068B9">
      <w:pPr>
        <w:spacing w:after="0" w:line="240" w:lineRule="auto"/>
      </w:pPr>
      <w:r>
        <w:separator/>
      </w:r>
    </w:p>
  </w:endnote>
  <w:endnote w:type="continuationSeparator" w:id="1">
    <w:p w:rsidR="00427405" w:rsidRDefault="004274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405" w:rsidRDefault="00427405" w:rsidP="003068B9">
      <w:pPr>
        <w:spacing w:after="0" w:line="240" w:lineRule="auto"/>
      </w:pPr>
      <w:r>
        <w:separator/>
      </w:r>
    </w:p>
  </w:footnote>
  <w:footnote w:type="continuationSeparator" w:id="1">
    <w:p w:rsidR="00427405" w:rsidRDefault="00427405" w:rsidP="003068B9">
      <w:pPr>
        <w:spacing w:after="0" w:line="240" w:lineRule="auto"/>
      </w:pPr>
      <w:r>
        <w:continuationSeparator/>
      </w:r>
    </w:p>
  </w:footnote>
  <w:footnote w:id="2">
    <w:p w:rsidR="00C43A60" w:rsidRPr="00A20CB1" w:rsidRDefault="00C43A60">
      <w:pPr>
        <w:pStyle w:val="Textodenotaderodap"/>
        <w:rPr>
          <w:sz w:val="19"/>
          <w:szCs w:val="19"/>
        </w:rPr>
      </w:pPr>
      <w:r w:rsidRPr="00A20CB1">
        <w:rPr>
          <w:rStyle w:val="Refdenotaderodap"/>
          <w:sz w:val="19"/>
          <w:szCs w:val="19"/>
        </w:rPr>
        <w:footnoteRef/>
      </w:r>
      <w:r w:rsidR="00E467CC" w:rsidRPr="00A20CB1">
        <w:rPr>
          <w:sz w:val="19"/>
          <w:szCs w:val="19"/>
        </w:rPr>
        <w:t xml:space="preserve">  Processos administrativos nº 2000.29429/2015, 2000.29427/2015, 2000.29411/2015, 2000.29425/2015, 2000.29398/2015 e 2000.29419/2015</w:t>
      </w:r>
      <w:r w:rsidRPr="00A20CB1">
        <w:rPr>
          <w:sz w:val="19"/>
          <w:szCs w:val="19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E28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5B6C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37B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6952"/>
    <w:rsid w:val="00427405"/>
    <w:rsid w:val="00431CB5"/>
    <w:rsid w:val="00433CD3"/>
    <w:rsid w:val="0043453C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0ED6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701C7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286F"/>
    <w:rsid w:val="006E6F72"/>
    <w:rsid w:val="006E77B8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170A0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1F22"/>
    <w:rsid w:val="0089222C"/>
    <w:rsid w:val="00892E06"/>
    <w:rsid w:val="00895F0D"/>
    <w:rsid w:val="008A3430"/>
    <w:rsid w:val="008A7908"/>
    <w:rsid w:val="008B10E2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43D4"/>
    <w:rsid w:val="00A343DB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7F35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1759"/>
    <w:rsid w:val="00B2230A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1691"/>
    <w:rsid w:val="00DD587E"/>
    <w:rsid w:val="00DD7FA4"/>
    <w:rsid w:val="00DE4762"/>
    <w:rsid w:val="00DE72A7"/>
    <w:rsid w:val="00DF50D8"/>
    <w:rsid w:val="00E157ED"/>
    <w:rsid w:val="00E159E7"/>
    <w:rsid w:val="00E15B06"/>
    <w:rsid w:val="00E173DB"/>
    <w:rsid w:val="00E27875"/>
    <w:rsid w:val="00E31FC3"/>
    <w:rsid w:val="00E32C61"/>
    <w:rsid w:val="00E34120"/>
    <w:rsid w:val="00E362E2"/>
    <w:rsid w:val="00E42BC4"/>
    <w:rsid w:val="00E467CC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06D4"/>
    <w:rsid w:val="00F53A9E"/>
    <w:rsid w:val="00F545C8"/>
    <w:rsid w:val="00F55433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4F74-F3AA-41DB-9C49-C2D7A631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1449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2017-06-02T14:40:00Z</cp:lastPrinted>
  <dcterms:created xsi:type="dcterms:W3CDTF">2017-06-05T13:39:00Z</dcterms:created>
  <dcterms:modified xsi:type="dcterms:W3CDTF">2017-06-05T14:11:00Z</dcterms:modified>
</cp:coreProperties>
</file>