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E467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8B10E2">
        <w:rPr>
          <w:rFonts w:asciiTheme="minorHAnsi" w:hAnsiTheme="minorHAnsi" w:cstheme="minorHAnsi"/>
          <w:bCs/>
        </w:rPr>
        <w:t>2000.29427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A343DB" w:rsidRPr="00E467CC">
        <w:rPr>
          <w:rFonts w:asciiTheme="minorHAnsi" w:hAnsiTheme="minorHAnsi" w:cstheme="minorHAnsi"/>
          <w:bCs/>
        </w:rPr>
        <w:t>, com anexos: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2000.2942</w:t>
      </w:r>
      <w:r w:rsidR="008B10E2">
        <w:rPr>
          <w:rFonts w:asciiTheme="minorHAnsi" w:hAnsiTheme="minorHAnsi" w:cstheme="minorHAnsi"/>
          <w:bCs/>
        </w:rPr>
        <w:t>7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8B10E2">
        <w:rPr>
          <w:rFonts w:asciiTheme="minorHAnsi" w:hAnsiTheme="minorHAnsi" w:cstheme="minorHAnsi"/>
        </w:rPr>
        <w:t>43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>quarenta e duas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E467CC">
        <w:rPr>
          <w:rFonts w:asciiTheme="minorHAnsi" w:hAnsiTheme="minorHAnsi" w:cstheme="minorHAnsi"/>
          <w:b/>
        </w:rPr>
        <w:t>R$ 7.236,00 (sete mil, duzentos e trinta e seis reais)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Nesse sentido, em atendimento ao Despacho PGE-PLIC nº 1060/2017, aprovado pelo Despacho PGE-PLIC-CD nº 990/2017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55B5D" w:rsidRPr="00E467CC">
        <w:rPr>
          <w:rFonts w:asciiTheme="minorHAnsi" w:hAnsiTheme="minorHAnsi" w:cstheme="minorHAnsi"/>
          <w:bCs/>
        </w:rPr>
        <w:t>2000.2942</w:t>
      </w:r>
      <w:r w:rsidR="008B10E2">
        <w:rPr>
          <w:rFonts w:asciiTheme="minorHAnsi" w:hAnsiTheme="minorHAnsi" w:cstheme="minorHAnsi"/>
          <w:bCs/>
        </w:rPr>
        <w:t>7</w:t>
      </w:r>
      <w:r w:rsidR="00655B5D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9E1E56" w:rsidRPr="00E467CC">
        <w:rPr>
          <w:rFonts w:asciiTheme="minorHAnsi" w:hAnsiTheme="minorHAnsi" w:cstheme="minorHAnsi"/>
        </w:rPr>
        <w:t>43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2016NE2089</w:t>
      </w:r>
      <w:r w:rsidR="008B10E2">
        <w:rPr>
          <w:rFonts w:asciiTheme="minorHAnsi" w:hAnsiTheme="minorHAnsi" w:cstheme="minorHAnsi"/>
          <w:b/>
        </w:rPr>
        <w:t>1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 fl. 18,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</w:t>
      </w:r>
      <w:r w:rsidR="00A96FA3" w:rsidRPr="00E467CC">
        <w:rPr>
          <w:rFonts w:asciiTheme="minorHAnsi" w:hAnsiTheme="minorHAnsi" w:cstheme="minorHAnsi"/>
        </w:rPr>
        <w:t xml:space="preserve">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F5BB9" w:rsidRPr="00E467CC" w:rsidRDefault="00A96FA3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</w:t>
      </w:r>
      <w:r w:rsidR="009F5BB9" w:rsidRPr="00E467CC">
        <w:rPr>
          <w:rFonts w:asciiTheme="minorHAnsi" w:hAnsiTheme="minorHAnsi" w:cstheme="minorHAnsi"/>
        </w:rPr>
        <w:t xml:space="preserve">defendida pelo Tribunal de Contas da União como sendo o </w:t>
      </w:r>
      <w:r w:rsidR="009F5BB9"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="009F5BB9"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9F5BB9" w:rsidRPr="00E467CC" w:rsidRDefault="009F5BB9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No processo em tela verifica-se a acumulação de atos administrativos</w:t>
      </w:r>
      <w:r w:rsidR="001E42C0" w:rsidRPr="00E467CC">
        <w:rPr>
          <w:rFonts w:asciiTheme="minorHAnsi" w:hAnsiTheme="minorHAnsi" w:cstheme="minorHAnsi"/>
        </w:rPr>
        <w:t xml:space="preserve"> pela servidora Mônica Lins Medeiros, Superintendente Administrativa</w:t>
      </w:r>
      <w:r w:rsidRPr="00E467CC">
        <w:rPr>
          <w:rFonts w:asciiTheme="minorHAnsi" w:hAnsiTheme="minorHAnsi" w:cstheme="minorHAnsi"/>
        </w:rPr>
        <w:t xml:space="preserve">, quais sejam: a) apresentação da necessidade administrativa em 26.10.2015; </w:t>
      </w:r>
      <w:r w:rsidR="008B10E2">
        <w:rPr>
          <w:rFonts w:asciiTheme="minorHAnsi" w:hAnsiTheme="minorHAnsi" w:cstheme="minorHAnsi"/>
        </w:rPr>
        <w:t>b</w:t>
      </w:r>
      <w:r w:rsidR="001E42C0" w:rsidRPr="00E467CC">
        <w:rPr>
          <w:rFonts w:asciiTheme="minorHAnsi" w:hAnsiTheme="minorHAnsi" w:cstheme="minorHAnsi"/>
        </w:rPr>
        <w:t xml:space="preserve">) atesto de recebimento dos bens contratados em </w:t>
      </w:r>
      <w:r w:rsidR="008B10E2">
        <w:rPr>
          <w:rFonts w:asciiTheme="minorHAnsi" w:hAnsiTheme="minorHAnsi" w:cstheme="minorHAnsi"/>
        </w:rPr>
        <w:t>09</w:t>
      </w:r>
      <w:r w:rsidR="001E42C0" w:rsidRPr="00E467CC">
        <w:rPr>
          <w:rFonts w:asciiTheme="minorHAnsi" w:hAnsiTheme="minorHAnsi" w:cstheme="minorHAnsi"/>
        </w:rPr>
        <w:t xml:space="preserve">.01.2017; e </w:t>
      </w:r>
      <w:r w:rsidR="008B10E2">
        <w:rPr>
          <w:rFonts w:asciiTheme="minorHAnsi" w:hAnsiTheme="minorHAnsi" w:cstheme="minorHAnsi"/>
        </w:rPr>
        <w:t>c</w:t>
      </w:r>
      <w:r w:rsidR="001E42C0" w:rsidRPr="00E467CC">
        <w:rPr>
          <w:rFonts w:asciiTheme="minorHAnsi" w:hAnsiTheme="minorHAnsi" w:cstheme="minorHAnsi"/>
        </w:rPr>
        <w:t xml:space="preserve">) solicitação de pagamento da despesa em 12.01.2017. </w:t>
      </w:r>
    </w:p>
    <w:p w:rsidR="009F5BB9" w:rsidRPr="00E467CC" w:rsidRDefault="009F5BB9" w:rsidP="00A96F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51.282/2017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51.282,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</w:t>
      </w: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Na análise dos autos, resta evidente o descumprimento do que trata o Decreto nº 51.282/2017,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51.282/2017: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 xml:space="preserve">Juntada de </w:t>
      </w:r>
      <w:r w:rsidR="00E467CC" w:rsidRPr="00E467CC">
        <w:rPr>
          <w:rFonts w:asciiTheme="minorHAnsi" w:hAnsiTheme="minorHAnsi" w:cstheme="minorHAnsi"/>
        </w:rPr>
        <w:lastRenderedPageBreak/>
        <w:t>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A20CB1">
        <w:rPr>
          <w:rFonts w:asciiTheme="minorHAnsi" w:hAnsiTheme="minorHAnsi" w:cstheme="minorHAnsi"/>
          <w:bCs/>
        </w:rPr>
        <w:t>02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23A" w:rsidRDefault="0045223A" w:rsidP="003068B9">
      <w:pPr>
        <w:spacing w:after="0" w:line="240" w:lineRule="auto"/>
      </w:pPr>
      <w:r>
        <w:separator/>
      </w:r>
    </w:p>
  </w:endnote>
  <w:endnote w:type="continuationSeparator" w:id="1">
    <w:p w:rsidR="0045223A" w:rsidRDefault="004522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23A" w:rsidRDefault="0045223A" w:rsidP="003068B9">
      <w:pPr>
        <w:spacing w:after="0" w:line="240" w:lineRule="auto"/>
      </w:pPr>
      <w:r>
        <w:separator/>
      </w:r>
    </w:p>
  </w:footnote>
  <w:footnote w:type="continuationSeparator" w:id="1">
    <w:p w:rsidR="0045223A" w:rsidRDefault="0045223A" w:rsidP="003068B9">
      <w:pPr>
        <w:spacing w:after="0" w:line="240" w:lineRule="auto"/>
      </w:pPr>
      <w:r>
        <w:continuationSeparator/>
      </w:r>
    </w:p>
  </w:footnote>
  <w:footnote w:id="2">
    <w:p w:rsidR="00C43A60" w:rsidRPr="00A20CB1" w:rsidRDefault="00C43A60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="00E467CC"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 w:rsidRPr="00A20CB1">
        <w:rPr>
          <w:sz w:val="19"/>
          <w:szCs w:val="19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D71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5223A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1448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2017-06-02T13:53:00Z</cp:lastPrinted>
  <dcterms:created xsi:type="dcterms:W3CDTF">2017-06-02T14:04:00Z</dcterms:created>
  <dcterms:modified xsi:type="dcterms:W3CDTF">2017-06-02T14:09:00Z</dcterms:modified>
</cp:coreProperties>
</file>