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011A95">
        <w:rPr>
          <w:rFonts w:ascii="Arial" w:hAnsi="Arial" w:cs="Arial"/>
          <w:sz w:val="22"/>
          <w:szCs w:val="22"/>
          <w:lang w:val="pt-BR"/>
        </w:rPr>
        <w:t>3629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11A95">
        <w:rPr>
          <w:rFonts w:ascii="Arial" w:hAnsi="Arial" w:cs="Arial"/>
          <w:sz w:val="22"/>
          <w:szCs w:val="22"/>
          <w:lang w:val="pt-BR"/>
        </w:rPr>
        <w:t>1521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11A95">
        <w:rPr>
          <w:rFonts w:ascii="Arial" w:hAnsi="Arial" w:cs="Arial"/>
          <w:sz w:val="22"/>
          <w:szCs w:val="22"/>
          <w:lang w:val="pt-BR"/>
        </w:rPr>
        <w:t>JOSE ROBERTO FERREIRA FILHO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11A95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2016-10-14T17:13:00Z</dcterms:created>
  <dcterms:modified xsi:type="dcterms:W3CDTF">2016-10-14T17:13:00Z</dcterms:modified>
</cp:coreProperties>
</file>