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36BE">
        <w:rPr>
          <w:rFonts w:ascii="Arial" w:hAnsi="Arial" w:cs="Arial"/>
          <w:sz w:val="22"/>
          <w:szCs w:val="22"/>
          <w:lang w:val="pt-BR"/>
        </w:rPr>
        <w:t>1800 2726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B36BE">
        <w:rPr>
          <w:rFonts w:ascii="Arial" w:hAnsi="Arial" w:cs="Arial"/>
          <w:sz w:val="22"/>
          <w:szCs w:val="22"/>
          <w:lang w:val="pt-BR"/>
        </w:rPr>
        <w:t>1555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B36BE">
        <w:rPr>
          <w:rFonts w:ascii="Arial" w:hAnsi="Arial" w:cs="Arial"/>
          <w:sz w:val="22"/>
          <w:szCs w:val="22"/>
          <w:lang w:val="pt-BR"/>
        </w:rPr>
        <w:t>LIGIA MARIA STEFANELLI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33F15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2016-10-25T14:47:00Z</cp:lastPrinted>
  <dcterms:created xsi:type="dcterms:W3CDTF">2016-10-25T14:48:00Z</dcterms:created>
  <dcterms:modified xsi:type="dcterms:W3CDTF">2016-10-25T14:48:00Z</dcterms:modified>
</cp:coreProperties>
</file>