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E57CEC">
        <w:rPr>
          <w:rFonts w:ascii="Arial" w:hAnsi="Arial" w:cs="Arial"/>
          <w:sz w:val="22"/>
          <w:szCs w:val="22"/>
          <w:lang w:val="pt-BR"/>
        </w:rPr>
        <w:t>737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57CEC">
        <w:rPr>
          <w:rFonts w:ascii="Arial" w:hAnsi="Arial" w:cs="Arial"/>
          <w:sz w:val="22"/>
          <w:szCs w:val="22"/>
          <w:lang w:val="pt-BR"/>
        </w:rPr>
        <w:t>1695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57CEC">
        <w:rPr>
          <w:rFonts w:ascii="Arial" w:hAnsi="Arial" w:cs="Arial"/>
          <w:sz w:val="22"/>
          <w:szCs w:val="22"/>
          <w:lang w:val="pt-BR"/>
        </w:rPr>
        <w:t>ROSIANE MARQUES DE AMORIM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2016-11-16T14:06:00Z</dcterms:created>
  <dcterms:modified xsi:type="dcterms:W3CDTF">2016-11-16T14:06:00Z</dcterms:modified>
</cp:coreProperties>
</file>