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E5F" w:rsidRPr="00F7768C" w:rsidRDefault="00155E5F" w:rsidP="00155E5F">
      <w:pPr>
        <w:spacing w:after="0" w:line="360" w:lineRule="auto"/>
        <w:ind w:left="1418" w:hanging="1418"/>
        <w:jc w:val="both"/>
        <w:rPr>
          <w:rFonts w:ascii="Arial" w:hAnsi="Arial" w:cs="Arial"/>
          <w:b/>
        </w:rPr>
      </w:pPr>
    </w:p>
    <w:p w:rsidR="00155E5F" w:rsidRPr="009D64E6" w:rsidRDefault="00155E5F" w:rsidP="00155E5F">
      <w:pPr>
        <w:spacing w:after="0" w:line="360" w:lineRule="auto"/>
        <w:ind w:left="1418" w:hanging="1418"/>
        <w:jc w:val="both"/>
        <w:rPr>
          <w:rFonts w:ascii="Arial" w:hAnsi="Arial" w:cs="Arial"/>
        </w:rPr>
      </w:pPr>
      <w:r w:rsidRPr="009D64E6">
        <w:rPr>
          <w:rFonts w:ascii="Arial" w:hAnsi="Arial" w:cs="Arial"/>
          <w:b/>
        </w:rPr>
        <w:t xml:space="preserve">PROCESSO nº: </w:t>
      </w:r>
      <w:r w:rsidRPr="009D64E6">
        <w:rPr>
          <w:rFonts w:ascii="Arial" w:hAnsi="Arial" w:cs="Arial"/>
        </w:rPr>
        <w:t>2000-</w:t>
      </w:r>
      <w:r w:rsidR="00610E61" w:rsidRPr="009D64E6">
        <w:rPr>
          <w:rFonts w:ascii="Arial" w:hAnsi="Arial" w:cs="Arial"/>
        </w:rPr>
        <w:t>2387</w:t>
      </w:r>
      <w:r w:rsidR="00FE33D2">
        <w:rPr>
          <w:rFonts w:ascii="Arial" w:hAnsi="Arial" w:cs="Arial"/>
        </w:rPr>
        <w:t>3</w:t>
      </w:r>
      <w:r w:rsidRPr="009D64E6">
        <w:rPr>
          <w:rFonts w:ascii="Arial" w:hAnsi="Arial" w:cs="Arial"/>
        </w:rPr>
        <w:t>/2016</w:t>
      </w:r>
    </w:p>
    <w:p w:rsidR="00155E5F" w:rsidRPr="009D64E6" w:rsidRDefault="00155E5F" w:rsidP="00155E5F">
      <w:pPr>
        <w:spacing w:after="0" w:line="360" w:lineRule="auto"/>
        <w:jc w:val="both"/>
        <w:rPr>
          <w:rFonts w:ascii="Arial" w:hAnsi="Arial" w:cs="Arial"/>
        </w:rPr>
      </w:pPr>
      <w:r w:rsidRPr="009D64E6">
        <w:rPr>
          <w:rFonts w:ascii="Arial" w:hAnsi="Arial" w:cs="Arial"/>
          <w:b/>
        </w:rPr>
        <w:t>INTERESSADO</w:t>
      </w:r>
      <w:r w:rsidRPr="009D64E6">
        <w:rPr>
          <w:rFonts w:ascii="Arial" w:hAnsi="Arial" w:cs="Arial"/>
        </w:rPr>
        <w:t>: Secretaria de Estado da Saúde - SESAU</w:t>
      </w:r>
    </w:p>
    <w:p w:rsidR="00155E5F" w:rsidRPr="009D64E6" w:rsidRDefault="00155E5F" w:rsidP="00155E5F">
      <w:pPr>
        <w:tabs>
          <w:tab w:val="left" w:pos="8647"/>
        </w:tabs>
        <w:spacing w:after="0" w:line="360" w:lineRule="auto"/>
        <w:jc w:val="both"/>
        <w:rPr>
          <w:rFonts w:ascii="Arial" w:hAnsi="Arial" w:cs="Arial"/>
        </w:rPr>
      </w:pPr>
      <w:r w:rsidRPr="009D64E6">
        <w:rPr>
          <w:rFonts w:ascii="Arial" w:hAnsi="Arial" w:cs="Arial"/>
          <w:b/>
        </w:rPr>
        <w:t>ASSUNTO</w:t>
      </w:r>
      <w:r w:rsidRPr="009D64E6">
        <w:rPr>
          <w:rFonts w:ascii="Arial" w:hAnsi="Arial" w:cs="Arial"/>
        </w:rPr>
        <w:t>: Aquisição de medicamentos.</w:t>
      </w:r>
    </w:p>
    <w:p w:rsidR="00610E61" w:rsidRPr="009D64E6" w:rsidRDefault="00610E61" w:rsidP="00155E5F">
      <w:pPr>
        <w:tabs>
          <w:tab w:val="left" w:pos="8647"/>
        </w:tabs>
        <w:spacing w:after="0" w:line="360" w:lineRule="auto"/>
        <w:jc w:val="both"/>
        <w:rPr>
          <w:rFonts w:ascii="Arial" w:hAnsi="Arial" w:cs="Arial"/>
          <w:b/>
        </w:rPr>
      </w:pPr>
      <w:r w:rsidRPr="009D64E6">
        <w:rPr>
          <w:rFonts w:ascii="Arial" w:hAnsi="Arial" w:cs="Arial"/>
          <w:b/>
        </w:rPr>
        <w:t>DETALHES</w:t>
      </w:r>
      <w:r w:rsidRPr="009D64E6">
        <w:rPr>
          <w:rFonts w:ascii="Arial" w:hAnsi="Arial" w:cs="Arial"/>
        </w:rPr>
        <w:t>:</w:t>
      </w:r>
      <w:r w:rsidRPr="009D64E6">
        <w:rPr>
          <w:rFonts w:ascii="Arial" w:hAnsi="Arial" w:cs="Arial"/>
          <w:b/>
        </w:rPr>
        <w:t xml:space="preserve"> </w:t>
      </w:r>
      <w:r w:rsidR="00347CC5" w:rsidRPr="009D64E6">
        <w:rPr>
          <w:rFonts w:ascii="Arial" w:hAnsi="Arial" w:cs="Arial"/>
        </w:rPr>
        <w:t>Solic. Aquisição Emergencial de M</w:t>
      </w:r>
      <w:r w:rsidRPr="009D64E6">
        <w:rPr>
          <w:rFonts w:ascii="Arial" w:hAnsi="Arial" w:cs="Arial"/>
        </w:rPr>
        <w:t xml:space="preserve">edicamentos Judiciais – Diversos </w:t>
      </w:r>
      <w:r w:rsidR="00FE33D2">
        <w:rPr>
          <w:rFonts w:ascii="Arial" w:hAnsi="Arial" w:cs="Arial"/>
        </w:rPr>
        <w:t>IV</w:t>
      </w:r>
    </w:p>
    <w:p w:rsidR="00155E5F" w:rsidRPr="009D64E6" w:rsidRDefault="00155E5F" w:rsidP="00155E5F">
      <w:pPr>
        <w:tabs>
          <w:tab w:val="left" w:pos="8647"/>
        </w:tabs>
        <w:spacing w:after="0" w:line="240" w:lineRule="auto"/>
        <w:jc w:val="both"/>
        <w:rPr>
          <w:rFonts w:ascii="Arial" w:hAnsi="Arial" w:cs="Arial"/>
        </w:rPr>
      </w:pPr>
    </w:p>
    <w:p w:rsidR="00155E5F" w:rsidRPr="009D64E6" w:rsidRDefault="00155E5F" w:rsidP="00155E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center"/>
        <w:rPr>
          <w:rFonts w:ascii="Arial" w:hAnsi="Arial" w:cs="Arial"/>
          <w:b/>
          <w:bCs/>
        </w:rPr>
      </w:pPr>
      <w:r w:rsidRPr="009D64E6">
        <w:rPr>
          <w:rFonts w:ascii="Arial" w:hAnsi="Arial" w:cs="Arial"/>
          <w:b/>
          <w:bCs/>
        </w:rPr>
        <w:t>PARECER TÉCNICO</w:t>
      </w:r>
    </w:p>
    <w:p w:rsidR="00155E5F" w:rsidRPr="009D64E6" w:rsidRDefault="00155E5F" w:rsidP="00155E5F">
      <w:pPr>
        <w:spacing w:after="0" w:line="240" w:lineRule="auto"/>
        <w:ind w:firstLine="708"/>
        <w:jc w:val="both"/>
        <w:rPr>
          <w:rFonts w:ascii="Arial" w:hAnsi="Arial" w:cs="Arial"/>
          <w:sz w:val="16"/>
          <w:szCs w:val="16"/>
        </w:rPr>
      </w:pPr>
    </w:p>
    <w:p w:rsidR="00155E5F" w:rsidRPr="009D64E6" w:rsidRDefault="00155E5F" w:rsidP="00155E5F">
      <w:pPr>
        <w:spacing w:after="0" w:line="240" w:lineRule="auto"/>
        <w:ind w:firstLine="708"/>
        <w:jc w:val="both"/>
        <w:rPr>
          <w:rFonts w:ascii="Arial" w:hAnsi="Arial" w:cs="Arial"/>
          <w:sz w:val="16"/>
          <w:szCs w:val="16"/>
        </w:rPr>
      </w:pPr>
    </w:p>
    <w:p w:rsidR="00155E5F" w:rsidRPr="009D64E6"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Trata-se de procedimento administrativo para aquisição de medicamentos</w:t>
      </w:r>
      <w:r w:rsidR="00347CC5" w:rsidRPr="009D64E6">
        <w:rPr>
          <w:rFonts w:ascii="Arial" w:hAnsi="Arial" w:cs="Arial"/>
          <w:sz w:val="21"/>
          <w:szCs w:val="21"/>
        </w:rPr>
        <w:t xml:space="preserve"> judiciais – d</w:t>
      </w:r>
      <w:r w:rsidR="00610E61" w:rsidRPr="009D64E6">
        <w:rPr>
          <w:rFonts w:ascii="Arial" w:hAnsi="Arial" w:cs="Arial"/>
          <w:sz w:val="21"/>
          <w:szCs w:val="21"/>
        </w:rPr>
        <w:t xml:space="preserve">iversos </w:t>
      </w:r>
      <w:r w:rsidR="00FE33D2">
        <w:rPr>
          <w:rFonts w:ascii="Arial" w:hAnsi="Arial" w:cs="Arial"/>
          <w:sz w:val="21"/>
          <w:szCs w:val="21"/>
        </w:rPr>
        <w:t>IV</w:t>
      </w:r>
      <w:r w:rsidRPr="009D64E6">
        <w:rPr>
          <w:rFonts w:ascii="Arial" w:hAnsi="Arial" w:cs="Arial"/>
          <w:sz w:val="21"/>
          <w:szCs w:val="21"/>
        </w:rPr>
        <w:t>, com o fito de abastecimento das Unidades de Saúde vinculadas à Secretaria de Estado da Saúde – SESAU.</w:t>
      </w:r>
    </w:p>
    <w:p w:rsidR="00155E5F" w:rsidRPr="009D64E6"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 xml:space="preserve">Conforme aduzido nos autos, a contratação está consubstanciada no art. 24, inciso IV da Lei nº 8666/93, tendo sido processada pela Secretaria de Estado da Saúde, nos termos da motivação administrativa subscrita pela </w:t>
      </w:r>
      <w:r w:rsidR="00610E61" w:rsidRPr="009D64E6">
        <w:rPr>
          <w:rFonts w:ascii="Arial" w:hAnsi="Arial" w:cs="Arial"/>
          <w:sz w:val="21"/>
          <w:szCs w:val="21"/>
        </w:rPr>
        <w:t xml:space="preserve">gestora da pasta às fls. </w:t>
      </w:r>
      <w:r w:rsidR="00FE33D2">
        <w:rPr>
          <w:rFonts w:ascii="Arial" w:hAnsi="Arial" w:cs="Arial"/>
          <w:sz w:val="21"/>
          <w:szCs w:val="21"/>
        </w:rPr>
        <w:t>631/632</w:t>
      </w:r>
      <w:r w:rsidRPr="009D64E6">
        <w:rPr>
          <w:rFonts w:ascii="Arial" w:hAnsi="Arial" w:cs="Arial"/>
          <w:sz w:val="21"/>
          <w:szCs w:val="21"/>
        </w:rPr>
        <w:t>.</w:t>
      </w:r>
    </w:p>
    <w:p w:rsidR="00155E5F" w:rsidRPr="009D64E6"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 xml:space="preserve">A presente análise possui fulcro no </w:t>
      </w:r>
      <w:r w:rsidRPr="009D64E6">
        <w:rPr>
          <w:rFonts w:ascii="Arial" w:hAnsi="Arial" w:cs="Arial"/>
          <w:b/>
          <w:sz w:val="21"/>
          <w:szCs w:val="21"/>
        </w:rPr>
        <w:t xml:space="preserve">Despacho </w:t>
      </w:r>
      <w:r w:rsidR="00610E61" w:rsidRPr="009D64E6">
        <w:rPr>
          <w:rFonts w:ascii="Arial" w:hAnsi="Arial" w:cs="Arial"/>
          <w:b/>
          <w:sz w:val="21"/>
          <w:szCs w:val="21"/>
        </w:rPr>
        <w:t xml:space="preserve">SUB PGE/GAB nº </w:t>
      </w:r>
      <w:r w:rsidR="00FE33D2">
        <w:rPr>
          <w:rFonts w:ascii="Arial" w:hAnsi="Arial" w:cs="Arial"/>
          <w:b/>
          <w:sz w:val="21"/>
          <w:szCs w:val="21"/>
        </w:rPr>
        <w:t>3975</w:t>
      </w:r>
      <w:r w:rsidR="00610E61" w:rsidRPr="009D64E6">
        <w:rPr>
          <w:rFonts w:ascii="Arial" w:hAnsi="Arial" w:cs="Arial"/>
          <w:b/>
          <w:sz w:val="21"/>
          <w:szCs w:val="21"/>
        </w:rPr>
        <w:t>/</w:t>
      </w:r>
      <w:r w:rsidRPr="009D64E6">
        <w:rPr>
          <w:rFonts w:ascii="Arial" w:hAnsi="Arial" w:cs="Arial"/>
          <w:b/>
          <w:sz w:val="21"/>
          <w:szCs w:val="21"/>
        </w:rPr>
        <w:t xml:space="preserve">2016 </w:t>
      </w:r>
      <w:r w:rsidRPr="009D64E6">
        <w:rPr>
          <w:rFonts w:ascii="Arial" w:hAnsi="Arial" w:cs="Arial"/>
          <w:sz w:val="21"/>
          <w:szCs w:val="21"/>
        </w:rPr>
        <w:t xml:space="preserve">(fls. </w:t>
      </w:r>
      <w:r w:rsidR="00B32DB1" w:rsidRPr="009D64E6">
        <w:rPr>
          <w:rFonts w:ascii="Arial" w:hAnsi="Arial" w:cs="Arial"/>
          <w:sz w:val="21"/>
          <w:szCs w:val="21"/>
        </w:rPr>
        <w:t>1.</w:t>
      </w:r>
      <w:r w:rsidR="00FE33D2">
        <w:rPr>
          <w:rFonts w:ascii="Arial" w:hAnsi="Arial" w:cs="Arial"/>
          <w:sz w:val="21"/>
          <w:szCs w:val="21"/>
        </w:rPr>
        <w:t>081</w:t>
      </w:r>
      <w:r w:rsidRPr="009D64E6">
        <w:rPr>
          <w:rFonts w:ascii="Arial" w:hAnsi="Arial" w:cs="Arial"/>
          <w:sz w:val="21"/>
          <w:szCs w:val="21"/>
        </w:rPr>
        <w:t>), que versa sobre a necessidade de análise acurada das aquisições de medicamentos em trâmite, em exercício da missão institucional deste órgão de controle.</w:t>
      </w:r>
    </w:p>
    <w:p w:rsidR="00155E5F" w:rsidRPr="009D64E6"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Nesse sentido, em atendimento à determinação emanada do Gabinete da Controladora Geral do Estado, passamos à análise técnica dos autos.</w:t>
      </w:r>
    </w:p>
    <w:p w:rsidR="00155E5F" w:rsidRPr="009D64E6" w:rsidRDefault="00155E5F" w:rsidP="00155E5F">
      <w:pPr>
        <w:pStyle w:val="SemEspaamento"/>
        <w:spacing w:line="360" w:lineRule="auto"/>
        <w:jc w:val="both"/>
        <w:rPr>
          <w:rFonts w:ascii="Arial" w:hAnsi="Arial" w:cs="Arial"/>
          <w:b/>
          <w:sz w:val="21"/>
          <w:szCs w:val="21"/>
          <w:u w:val="single"/>
        </w:rPr>
      </w:pPr>
    </w:p>
    <w:p w:rsidR="00155E5F" w:rsidRPr="009D64E6" w:rsidRDefault="00155E5F" w:rsidP="00155E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Arial" w:hAnsi="Arial" w:cs="Arial"/>
          <w:b/>
          <w:sz w:val="21"/>
          <w:szCs w:val="21"/>
        </w:rPr>
      </w:pPr>
      <w:r w:rsidRPr="009D64E6">
        <w:rPr>
          <w:rFonts w:ascii="Arial" w:hAnsi="Arial" w:cs="Arial"/>
          <w:b/>
          <w:sz w:val="21"/>
          <w:szCs w:val="21"/>
        </w:rPr>
        <w:t xml:space="preserve">1 – DO EXAME DOS AUTOS </w:t>
      </w:r>
    </w:p>
    <w:p w:rsidR="00155E5F" w:rsidRPr="009D64E6" w:rsidRDefault="00155E5F" w:rsidP="00155E5F">
      <w:pPr>
        <w:pStyle w:val="SemEspaamento"/>
        <w:spacing w:line="360" w:lineRule="auto"/>
        <w:jc w:val="both"/>
        <w:rPr>
          <w:rFonts w:ascii="Arial" w:hAnsi="Arial" w:cs="Arial"/>
          <w:sz w:val="21"/>
          <w:szCs w:val="21"/>
        </w:rPr>
      </w:pPr>
      <w:r w:rsidRPr="009D64E6">
        <w:rPr>
          <w:rFonts w:ascii="Arial" w:hAnsi="Arial" w:cs="Arial"/>
          <w:sz w:val="21"/>
          <w:szCs w:val="21"/>
        </w:rPr>
        <w:t xml:space="preserve">    </w:t>
      </w:r>
    </w:p>
    <w:p w:rsidR="00155E5F" w:rsidRPr="009D64E6" w:rsidRDefault="00155E5F" w:rsidP="00155E5F">
      <w:pPr>
        <w:pStyle w:val="SemEspaamento"/>
        <w:spacing w:line="360" w:lineRule="auto"/>
        <w:ind w:firstLine="708"/>
        <w:jc w:val="both"/>
        <w:rPr>
          <w:rFonts w:ascii="Arial" w:hAnsi="Arial" w:cs="Arial"/>
          <w:sz w:val="21"/>
          <w:szCs w:val="21"/>
        </w:rPr>
      </w:pPr>
      <w:r w:rsidRPr="009D64E6">
        <w:rPr>
          <w:rFonts w:ascii="Arial" w:hAnsi="Arial" w:cs="Arial"/>
          <w:sz w:val="21"/>
          <w:szCs w:val="21"/>
        </w:rPr>
        <w:t xml:space="preserve">Feitas as considerações PRELIMINARES acima expostas, passamos a analisar os aspectos que merecem relevo na aferição da </w:t>
      </w:r>
      <w:r w:rsidRPr="009D64E6">
        <w:rPr>
          <w:rFonts w:ascii="Arial" w:hAnsi="Arial" w:cs="Arial"/>
          <w:b/>
          <w:i/>
          <w:sz w:val="21"/>
          <w:szCs w:val="21"/>
        </w:rPr>
        <w:t>“análise e emissão de parecer técnico”</w:t>
      </w:r>
      <w:r w:rsidRPr="009D64E6">
        <w:rPr>
          <w:rFonts w:ascii="Arial" w:hAnsi="Arial" w:cs="Arial"/>
          <w:sz w:val="21"/>
          <w:szCs w:val="21"/>
        </w:rPr>
        <w:t xml:space="preserve"> sobre o caso em comento, conforme requerido pela Chefia de Gabinete (fl</w:t>
      </w:r>
      <w:r w:rsidR="00BF3F24" w:rsidRPr="009D64E6">
        <w:rPr>
          <w:rFonts w:ascii="Arial" w:hAnsi="Arial" w:cs="Arial"/>
          <w:sz w:val="21"/>
          <w:szCs w:val="21"/>
        </w:rPr>
        <w:t>s</w:t>
      </w:r>
      <w:r w:rsidRPr="009D64E6">
        <w:rPr>
          <w:rFonts w:ascii="Arial" w:hAnsi="Arial" w:cs="Arial"/>
          <w:sz w:val="21"/>
          <w:szCs w:val="21"/>
        </w:rPr>
        <w:t xml:space="preserve">. </w:t>
      </w:r>
      <w:r w:rsidR="00FE33D2">
        <w:rPr>
          <w:rFonts w:ascii="Arial" w:hAnsi="Arial" w:cs="Arial"/>
          <w:sz w:val="21"/>
          <w:szCs w:val="21"/>
        </w:rPr>
        <w:t>1.082</w:t>
      </w:r>
      <w:r w:rsidRPr="009D64E6">
        <w:rPr>
          <w:rFonts w:ascii="Arial" w:hAnsi="Arial" w:cs="Arial"/>
          <w:sz w:val="21"/>
          <w:szCs w:val="21"/>
        </w:rPr>
        <w:t>).</w:t>
      </w:r>
    </w:p>
    <w:p w:rsidR="00155E5F" w:rsidRPr="009D64E6"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A presente demanda se origina de levantamento realizado pela SESAU, com a indicação dos itens a serem adquiridos e seus respectivos quantitativos, através do Termo d</w:t>
      </w:r>
      <w:r w:rsidR="00BF3F24" w:rsidRPr="009D64E6">
        <w:rPr>
          <w:rFonts w:ascii="Arial" w:hAnsi="Arial" w:cs="Arial"/>
          <w:sz w:val="21"/>
          <w:szCs w:val="21"/>
        </w:rPr>
        <w:t xml:space="preserve">e Referência acostado às fls. </w:t>
      </w:r>
      <w:r w:rsidR="00FE33D2">
        <w:rPr>
          <w:rFonts w:ascii="Arial" w:hAnsi="Arial" w:cs="Arial"/>
          <w:sz w:val="21"/>
          <w:szCs w:val="21"/>
        </w:rPr>
        <w:t>07/12</w:t>
      </w:r>
      <w:r w:rsidRPr="009D64E6">
        <w:rPr>
          <w:rFonts w:ascii="Arial" w:hAnsi="Arial" w:cs="Arial"/>
          <w:sz w:val="21"/>
          <w:szCs w:val="21"/>
        </w:rPr>
        <w:t>, subscrito pela Assessora Técnica da Assistência Farmacêutica.</w:t>
      </w:r>
    </w:p>
    <w:p w:rsidR="00155E5F" w:rsidRPr="009D64E6" w:rsidRDefault="00BF3F24" w:rsidP="002118F6">
      <w:pPr>
        <w:spacing w:after="0" w:line="360" w:lineRule="auto"/>
        <w:ind w:firstLine="709"/>
        <w:jc w:val="both"/>
        <w:rPr>
          <w:rFonts w:ascii="Arial" w:hAnsi="Arial" w:cs="Arial"/>
          <w:sz w:val="21"/>
          <w:szCs w:val="21"/>
        </w:rPr>
      </w:pPr>
      <w:r w:rsidRPr="009D64E6">
        <w:rPr>
          <w:rFonts w:ascii="Arial" w:hAnsi="Arial" w:cs="Arial"/>
          <w:sz w:val="21"/>
          <w:szCs w:val="21"/>
        </w:rPr>
        <w:t>Às fls.</w:t>
      </w:r>
      <w:r w:rsidR="002118F6" w:rsidRPr="009D64E6">
        <w:rPr>
          <w:rFonts w:ascii="Arial" w:hAnsi="Arial" w:cs="Arial"/>
          <w:sz w:val="21"/>
          <w:szCs w:val="21"/>
        </w:rPr>
        <w:t xml:space="preserve"> </w:t>
      </w:r>
      <w:r w:rsidR="00FE33D2">
        <w:rPr>
          <w:rFonts w:ascii="Arial" w:hAnsi="Arial" w:cs="Arial"/>
          <w:sz w:val="21"/>
          <w:szCs w:val="21"/>
        </w:rPr>
        <w:t>36</w:t>
      </w:r>
      <w:r w:rsidR="002118F6" w:rsidRPr="009D64E6">
        <w:rPr>
          <w:rFonts w:ascii="Arial" w:hAnsi="Arial" w:cs="Arial"/>
          <w:sz w:val="21"/>
          <w:szCs w:val="21"/>
        </w:rPr>
        <w:t xml:space="preserve"> consta Despacho</w:t>
      </w:r>
      <w:r w:rsidRPr="009D64E6">
        <w:rPr>
          <w:rFonts w:ascii="Arial" w:hAnsi="Arial" w:cs="Arial"/>
          <w:sz w:val="21"/>
          <w:szCs w:val="21"/>
        </w:rPr>
        <w:t>– 115</w:t>
      </w:r>
      <w:r w:rsidR="00FE33D2">
        <w:rPr>
          <w:rFonts w:ascii="Arial" w:hAnsi="Arial" w:cs="Arial"/>
          <w:sz w:val="21"/>
          <w:szCs w:val="21"/>
        </w:rPr>
        <w:t>7</w:t>
      </w:r>
      <w:r w:rsidRPr="009D64E6">
        <w:rPr>
          <w:rFonts w:ascii="Arial" w:hAnsi="Arial" w:cs="Arial"/>
          <w:sz w:val="21"/>
          <w:szCs w:val="21"/>
        </w:rPr>
        <w:t xml:space="preserve"> –11- ATAS</w:t>
      </w:r>
      <w:r w:rsidR="00155E5F" w:rsidRPr="009D64E6">
        <w:rPr>
          <w:rFonts w:ascii="Arial" w:hAnsi="Arial" w:cs="Arial"/>
          <w:sz w:val="21"/>
          <w:szCs w:val="21"/>
        </w:rPr>
        <w:t xml:space="preserve"> da Assessora Técnica</w:t>
      </w:r>
      <w:r w:rsidRPr="009D64E6">
        <w:rPr>
          <w:rFonts w:ascii="Arial" w:hAnsi="Arial" w:cs="Arial"/>
          <w:sz w:val="21"/>
          <w:szCs w:val="21"/>
        </w:rPr>
        <w:t>/ATAS/GSUPRI</w:t>
      </w:r>
      <w:r w:rsidR="001645F2" w:rsidRPr="009D64E6">
        <w:rPr>
          <w:rFonts w:ascii="Arial" w:hAnsi="Arial" w:cs="Arial"/>
          <w:sz w:val="21"/>
          <w:szCs w:val="21"/>
        </w:rPr>
        <w:t>, informando</w:t>
      </w:r>
      <w:r w:rsidR="00155E5F" w:rsidRPr="009D64E6">
        <w:rPr>
          <w:rFonts w:ascii="Arial" w:hAnsi="Arial" w:cs="Arial"/>
          <w:sz w:val="21"/>
          <w:szCs w:val="21"/>
        </w:rPr>
        <w:t xml:space="preserve"> a inexistência de ARP’s vigentes para </w:t>
      </w:r>
      <w:r w:rsidR="001645F2" w:rsidRPr="009D64E6">
        <w:rPr>
          <w:rFonts w:ascii="Arial" w:hAnsi="Arial" w:cs="Arial"/>
          <w:sz w:val="21"/>
          <w:szCs w:val="21"/>
        </w:rPr>
        <w:t xml:space="preserve">atender o </w:t>
      </w:r>
      <w:r w:rsidR="00155E5F" w:rsidRPr="009D64E6">
        <w:rPr>
          <w:rFonts w:ascii="Arial" w:hAnsi="Arial" w:cs="Arial"/>
          <w:sz w:val="21"/>
          <w:szCs w:val="21"/>
        </w:rPr>
        <w:t>bjeto dos autos</w:t>
      </w:r>
      <w:r w:rsidR="001645F2" w:rsidRPr="009D64E6">
        <w:rPr>
          <w:rFonts w:ascii="Arial" w:hAnsi="Arial" w:cs="Arial"/>
          <w:sz w:val="21"/>
          <w:szCs w:val="21"/>
        </w:rPr>
        <w:t xml:space="preserve">, bem como às fls. </w:t>
      </w:r>
      <w:r w:rsidR="00FE33D2">
        <w:rPr>
          <w:rFonts w:ascii="Arial" w:hAnsi="Arial" w:cs="Arial"/>
          <w:sz w:val="21"/>
          <w:szCs w:val="21"/>
        </w:rPr>
        <w:t>37/51</w:t>
      </w:r>
      <w:r w:rsidR="00155E5F" w:rsidRPr="009D64E6">
        <w:rPr>
          <w:rFonts w:ascii="Arial" w:hAnsi="Arial" w:cs="Arial"/>
          <w:sz w:val="21"/>
          <w:szCs w:val="21"/>
        </w:rPr>
        <w:t xml:space="preserve"> constam informações sobre os Planos de Suprimentos (documentos pré-processuais que impulsionam os procedimentos licitatórios) e indicação dos processos administrativos que tramitam na Agência de Modernização da Gestão de Processos – AMGESP.</w:t>
      </w:r>
    </w:p>
    <w:p w:rsidR="00155E5F"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Dando continuidade ao procedimento de contratação, a Superintendência Administrativa realizou pesquisa de mercado, nos termos da Instrução Normativa AMGESP nº 01/2016, com amparo nos menores preços apresentados em pregões realizados por diversos órgãos públicos.</w:t>
      </w:r>
    </w:p>
    <w:p w:rsidR="009D64E6" w:rsidRDefault="009D64E6" w:rsidP="00155E5F">
      <w:pPr>
        <w:spacing w:after="0" w:line="360" w:lineRule="auto"/>
        <w:ind w:firstLine="709"/>
        <w:jc w:val="both"/>
        <w:rPr>
          <w:rFonts w:ascii="Arial" w:hAnsi="Arial" w:cs="Arial"/>
          <w:sz w:val="21"/>
          <w:szCs w:val="21"/>
        </w:rPr>
      </w:pPr>
    </w:p>
    <w:p w:rsidR="009D64E6" w:rsidRPr="009D64E6" w:rsidRDefault="009D64E6" w:rsidP="00155E5F">
      <w:pPr>
        <w:spacing w:after="0" w:line="360" w:lineRule="auto"/>
        <w:ind w:firstLine="709"/>
        <w:jc w:val="both"/>
        <w:rPr>
          <w:rFonts w:ascii="Arial" w:hAnsi="Arial" w:cs="Arial"/>
          <w:sz w:val="21"/>
          <w:szCs w:val="21"/>
        </w:rPr>
      </w:pPr>
    </w:p>
    <w:p w:rsidR="00155E5F" w:rsidRPr="009D64E6" w:rsidRDefault="00155E5F" w:rsidP="00155E5F">
      <w:pPr>
        <w:spacing w:after="0" w:line="360" w:lineRule="auto"/>
        <w:ind w:firstLine="709"/>
        <w:jc w:val="both"/>
        <w:rPr>
          <w:rFonts w:ascii="Arial" w:hAnsi="Arial" w:cs="Arial"/>
          <w:caps/>
          <w:sz w:val="21"/>
          <w:szCs w:val="21"/>
        </w:rPr>
      </w:pPr>
      <w:r w:rsidRPr="009D64E6">
        <w:rPr>
          <w:rFonts w:ascii="Arial" w:hAnsi="Arial" w:cs="Arial"/>
          <w:sz w:val="21"/>
          <w:szCs w:val="21"/>
        </w:rPr>
        <w:t xml:space="preserve">O aviso de cotação foi publicado no Diário Oficial do Estado de Alagoas, em 06.12.2016, sob a responsabilidade do Assessor Técnico de Compras </w:t>
      </w:r>
      <w:r w:rsidR="001645F2" w:rsidRPr="009D64E6">
        <w:rPr>
          <w:rFonts w:ascii="Arial" w:hAnsi="Arial" w:cs="Arial"/>
          <w:sz w:val="21"/>
          <w:szCs w:val="21"/>
        </w:rPr>
        <w:t xml:space="preserve">Emergenciais e Judiciais (fl. </w:t>
      </w:r>
      <w:r w:rsidR="00FE33D2">
        <w:rPr>
          <w:rFonts w:ascii="Arial" w:hAnsi="Arial" w:cs="Arial"/>
          <w:sz w:val="21"/>
          <w:szCs w:val="21"/>
        </w:rPr>
        <w:t>54</w:t>
      </w:r>
      <w:r w:rsidRPr="009D64E6">
        <w:rPr>
          <w:rFonts w:ascii="Arial" w:hAnsi="Arial" w:cs="Arial"/>
          <w:sz w:val="21"/>
          <w:szCs w:val="21"/>
        </w:rPr>
        <w:t>), com indicação para abertura das propostas em 12.12.2016, às 8h00min, no Auditório Arthur Ramos, localizado na sede da SESAU. A solicitação de propostas foi publicada, ainda, no sítio eletrônico do órgão contratante (</w:t>
      </w:r>
      <w:hyperlink r:id="rId7" w:history="1">
        <w:r w:rsidRPr="009D64E6">
          <w:rPr>
            <w:rStyle w:val="Hyperlink"/>
            <w:rFonts w:ascii="Arial" w:hAnsi="Arial" w:cs="Arial"/>
            <w:color w:val="auto"/>
            <w:sz w:val="21"/>
            <w:szCs w:val="21"/>
          </w:rPr>
          <w:t>www.saude.al.gov.br</w:t>
        </w:r>
      </w:hyperlink>
      <w:r w:rsidRPr="009D64E6">
        <w:rPr>
          <w:rFonts w:ascii="Arial" w:hAnsi="Arial" w:cs="Arial"/>
          <w:sz w:val="21"/>
          <w:szCs w:val="21"/>
        </w:rPr>
        <w:t xml:space="preserve">) e em jornal de circulação estadual (Tribuna Independente, edição de 08 e 09.12.2016). </w:t>
      </w:r>
    </w:p>
    <w:p w:rsidR="00155E5F" w:rsidRPr="009D64E6"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 xml:space="preserve">As propostas de preços foram juntadas </w:t>
      </w:r>
      <w:r w:rsidR="001645F2" w:rsidRPr="009D64E6">
        <w:rPr>
          <w:rFonts w:ascii="Arial" w:hAnsi="Arial" w:cs="Arial"/>
          <w:sz w:val="21"/>
          <w:szCs w:val="21"/>
        </w:rPr>
        <w:t xml:space="preserve">aos autos (fls. </w:t>
      </w:r>
      <w:r w:rsidR="00B23447">
        <w:rPr>
          <w:rFonts w:ascii="Arial" w:hAnsi="Arial" w:cs="Arial"/>
          <w:sz w:val="21"/>
          <w:szCs w:val="21"/>
        </w:rPr>
        <w:t>61/75</w:t>
      </w:r>
      <w:r w:rsidRPr="009D64E6">
        <w:rPr>
          <w:rFonts w:ascii="Arial" w:hAnsi="Arial" w:cs="Arial"/>
          <w:sz w:val="21"/>
          <w:szCs w:val="21"/>
        </w:rPr>
        <w:t>), assim como os documentos de regularidade f</w:t>
      </w:r>
      <w:r w:rsidR="007A7E12" w:rsidRPr="009D64E6">
        <w:rPr>
          <w:rFonts w:ascii="Arial" w:hAnsi="Arial" w:cs="Arial"/>
          <w:sz w:val="21"/>
          <w:szCs w:val="21"/>
        </w:rPr>
        <w:t xml:space="preserve">iscal/trabalhista das empresas (fls. </w:t>
      </w:r>
      <w:r w:rsidR="00B23447">
        <w:rPr>
          <w:rFonts w:ascii="Arial" w:hAnsi="Arial" w:cs="Arial"/>
          <w:sz w:val="21"/>
          <w:szCs w:val="21"/>
        </w:rPr>
        <w:t>166/577</w:t>
      </w:r>
      <w:r w:rsidRPr="009D64E6">
        <w:rPr>
          <w:rFonts w:ascii="Arial" w:hAnsi="Arial" w:cs="Arial"/>
          <w:sz w:val="21"/>
          <w:szCs w:val="21"/>
        </w:rPr>
        <w:t>), originando o Map</w:t>
      </w:r>
      <w:r w:rsidR="007A7E12" w:rsidRPr="009D64E6">
        <w:rPr>
          <w:rFonts w:ascii="Arial" w:hAnsi="Arial" w:cs="Arial"/>
          <w:sz w:val="21"/>
          <w:szCs w:val="21"/>
        </w:rPr>
        <w:t xml:space="preserve">a de Preços acostado às fls. </w:t>
      </w:r>
      <w:r w:rsidR="00B23447">
        <w:rPr>
          <w:rFonts w:ascii="Arial" w:hAnsi="Arial" w:cs="Arial"/>
          <w:sz w:val="21"/>
          <w:szCs w:val="21"/>
        </w:rPr>
        <w:t>160/162</w:t>
      </w:r>
      <w:r w:rsidRPr="009D64E6">
        <w:rPr>
          <w:rFonts w:ascii="Arial" w:hAnsi="Arial" w:cs="Arial"/>
          <w:sz w:val="21"/>
          <w:szCs w:val="21"/>
        </w:rPr>
        <w:t xml:space="preserve">. </w:t>
      </w:r>
    </w:p>
    <w:p w:rsidR="00155E5F" w:rsidRPr="009D64E6" w:rsidRDefault="007A7E12" w:rsidP="00155E5F">
      <w:pPr>
        <w:spacing w:after="0" w:line="360" w:lineRule="auto"/>
        <w:ind w:firstLine="709"/>
        <w:jc w:val="both"/>
        <w:rPr>
          <w:rFonts w:ascii="Arial" w:hAnsi="Arial" w:cs="Arial"/>
          <w:sz w:val="21"/>
          <w:szCs w:val="21"/>
        </w:rPr>
      </w:pPr>
      <w:r w:rsidRPr="009D64E6">
        <w:rPr>
          <w:rFonts w:ascii="Arial" w:hAnsi="Arial" w:cs="Arial"/>
          <w:sz w:val="21"/>
          <w:szCs w:val="21"/>
        </w:rPr>
        <w:t>Segue à fl</w:t>
      </w:r>
      <w:r w:rsidR="009F1832" w:rsidRPr="009D64E6">
        <w:rPr>
          <w:rFonts w:ascii="Arial" w:hAnsi="Arial" w:cs="Arial"/>
          <w:sz w:val="21"/>
          <w:szCs w:val="21"/>
        </w:rPr>
        <w:t>s</w:t>
      </w:r>
      <w:r w:rsidRPr="009D64E6">
        <w:rPr>
          <w:rFonts w:ascii="Arial" w:hAnsi="Arial" w:cs="Arial"/>
          <w:sz w:val="21"/>
          <w:szCs w:val="21"/>
        </w:rPr>
        <w:t>. 5</w:t>
      </w:r>
      <w:r w:rsidR="00B23447">
        <w:rPr>
          <w:rFonts w:ascii="Arial" w:hAnsi="Arial" w:cs="Arial"/>
          <w:sz w:val="21"/>
          <w:szCs w:val="21"/>
        </w:rPr>
        <w:t>78</w:t>
      </w:r>
      <w:r w:rsidR="00155E5F" w:rsidRPr="009D64E6">
        <w:rPr>
          <w:rFonts w:ascii="Arial" w:hAnsi="Arial" w:cs="Arial"/>
          <w:sz w:val="21"/>
          <w:szCs w:val="21"/>
        </w:rPr>
        <w:t xml:space="preserve"> informação orçamentária das aquisições pretendidas, com indicação do Plano de Trabalho, Plano Interno, Natureza da Despesa, Fonte e valor da contratação na razão de R$ </w:t>
      </w:r>
      <w:r w:rsidR="00B23447">
        <w:rPr>
          <w:rFonts w:ascii="Arial" w:hAnsi="Arial" w:cs="Arial"/>
          <w:sz w:val="21"/>
          <w:szCs w:val="21"/>
        </w:rPr>
        <w:t>2.277.605,18</w:t>
      </w:r>
      <w:r w:rsidR="00155E5F" w:rsidRPr="009D64E6">
        <w:rPr>
          <w:rFonts w:ascii="Arial" w:hAnsi="Arial" w:cs="Arial"/>
          <w:sz w:val="21"/>
          <w:szCs w:val="21"/>
        </w:rPr>
        <w:t xml:space="preserve"> (</w:t>
      </w:r>
      <w:r w:rsidR="00B23447">
        <w:rPr>
          <w:rFonts w:ascii="Arial" w:hAnsi="Arial" w:cs="Arial"/>
          <w:sz w:val="21"/>
          <w:szCs w:val="21"/>
        </w:rPr>
        <w:t>dois milhões duzentos e setenta e sete mil, seiscentos e cinco reais e dezoito centavos</w:t>
      </w:r>
      <w:r w:rsidR="00155E5F" w:rsidRPr="009D64E6">
        <w:rPr>
          <w:rFonts w:ascii="Arial" w:hAnsi="Arial" w:cs="Arial"/>
          <w:sz w:val="21"/>
          <w:szCs w:val="21"/>
        </w:rPr>
        <w:t>).</w:t>
      </w:r>
    </w:p>
    <w:p w:rsidR="00155E5F" w:rsidRPr="009D64E6" w:rsidRDefault="00155E5F" w:rsidP="00155E5F">
      <w:pPr>
        <w:spacing w:after="0" w:line="360" w:lineRule="auto"/>
        <w:ind w:firstLine="709"/>
        <w:jc w:val="both"/>
        <w:rPr>
          <w:sz w:val="21"/>
          <w:szCs w:val="21"/>
        </w:rPr>
      </w:pPr>
      <w:r w:rsidRPr="009D64E6">
        <w:rPr>
          <w:rFonts w:ascii="Arial" w:hAnsi="Arial" w:cs="Arial"/>
          <w:sz w:val="21"/>
          <w:szCs w:val="21"/>
        </w:rPr>
        <w:t>A instrução processual foi complementada com as minutas contratuais individual</w:t>
      </w:r>
      <w:r w:rsidR="007A7E12" w:rsidRPr="009D64E6">
        <w:rPr>
          <w:rFonts w:ascii="Arial" w:hAnsi="Arial" w:cs="Arial"/>
          <w:sz w:val="21"/>
          <w:szCs w:val="21"/>
        </w:rPr>
        <w:t xml:space="preserve">izadas por empresas (fls. </w:t>
      </w:r>
      <w:r w:rsidR="00B23447">
        <w:rPr>
          <w:rFonts w:ascii="Arial" w:hAnsi="Arial" w:cs="Arial"/>
          <w:sz w:val="21"/>
          <w:szCs w:val="21"/>
        </w:rPr>
        <w:t>589/625</w:t>
      </w:r>
      <w:r w:rsidRPr="009D64E6">
        <w:rPr>
          <w:rFonts w:ascii="Arial" w:hAnsi="Arial" w:cs="Arial"/>
          <w:sz w:val="21"/>
          <w:szCs w:val="21"/>
        </w:rPr>
        <w:t xml:space="preserve">)¸ com base no modelo aprovado pela Procuradoria Geral do Estado – PGE/AL (12 – Contrato – Bens). </w:t>
      </w:r>
    </w:p>
    <w:p w:rsidR="00155E5F" w:rsidRPr="009D64E6"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O processo administrativo em epígrafe foi submetido ao crivo da PGE/AL, que fez remessa dos autos à AMGESP para pronunciamento acerca dos motivos que impediram a conclusão dos procedimentos licitatórios para aquisição dos medicamentos relacionados no termo de referência, haja vista a competência institucional daquela autarquia estadual.</w:t>
      </w:r>
    </w:p>
    <w:p w:rsidR="00155E5F" w:rsidRPr="009D64E6" w:rsidRDefault="00155E5F" w:rsidP="00155E5F">
      <w:pPr>
        <w:spacing w:after="0" w:line="360" w:lineRule="auto"/>
        <w:ind w:firstLine="709"/>
        <w:jc w:val="both"/>
        <w:rPr>
          <w:rFonts w:ascii="Arial" w:hAnsi="Arial" w:cs="Arial"/>
          <w:sz w:val="21"/>
          <w:szCs w:val="21"/>
        </w:rPr>
      </w:pPr>
      <w:r w:rsidRPr="009D64E6">
        <w:rPr>
          <w:rFonts w:ascii="Arial" w:hAnsi="Arial" w:cs="Arial"/>
          <w:sz w:val="21"/>
          <w:szCs w:val="21"/>
        </w:rPr>
        <w:t xml:space="preserve">Objetivando o cumprimento da requisição feita no </w:t>
      </w:r>
      <w:r w:rsidR="009F1832" w:rsidRPr="009D64E6">
        <w:rPr>
          <w:rFonts w:ascii="Arial" w:hAnsi="Arial" w:cs="Arial"/>
          <w:b/>
          <w:sz w:val="21"/>
          <w:szCs w:val="21"/>
        </w:rPr>
        <w:t>DESPACHO SUB PGE/GAB         nº 387</w:t>
      </w:r>
      <w:r w:rsidR="00B23447">
        <w:rPr>
          <w:rFonts w:ascii="Arial" w:hAnsi="Arial" w:cs="Arial"/>
          <w:b/>
          <w:sz w:val="21"/>
          <w:szCs w:val="21"/>
        </w:rPr>
        <w:t>6</w:t>
      </w:r>
      <w:r w:rsidRPr="009D64E6">
        <w:rPr>
          <w:rFonts w:ascii="Arial" w:hAnsi="Arial" w:cs="Arial"/>
          <w:b/>
          <w:sz w:val="21"/>
          <w:szCs w:val="21"/>
        </w:rPr>
        <w:t>/2016</w:t>
      </w:r>
      <w:r w:rsidR="009F1832" w:rsidRPr="009D64E6">
        <w:rPr>
          <w:rFonts w:ascii="Arial" w:hAnsi="Arial" w:cs="Arial"/>
          <w:sz w:val="21"/>
          <w:szCs w:val="21"/>
        </w:rPr>
        <w:t xml:space="preserve"> (fl. 6</w:t>
      </w:r>
      <w:r w:rsidR="00B23447">
        <w:rPr>
          <w:rFonts w:ascii="Arial" w:hAnsi="Arial" w:cs="Arial"/>
          <w:sz w:val="21"/>
          <w:szCs w:val="21"/>
        </w:rPr>
        <w:t>33</w:t>
      </w:r>
      <w:r w:rsidRPr="009D64E6">
        <w:rPr>
          <w:rFonts w:ascii="Arial" w:hAnsi="Arial" w:cs="Arial"/>
          <w:sz w:val="21"/>
          <w:szCs w:val="21"/>
        </w:rPr>
        <w:t>), a AMGESP procedeu à juntada das Atas de Registro de Preço vigentes no período de abril/2016 a novembro/2016, conforme se verifica à</w:t>
      </w:r>
      <w:r w:rsidR="009F1832" w:rsidRPr="009D64E6">
        <w:rPr>
          <w:rFonts w:ascii="Arial" w:hAnsi="Arial" w:cs="Arial"/>
          <w:sz w:val="21"/>
          <w:szCs w:val="21"/>
        </w:rPr>
        <w:t xml:space="preserve">s fls. </w:t>
      </w:r>
      <w:r w:rsidR="00B23447">
        <w:rPr>
          <w:rFonts w:ascii="Arial" w:hAnsi="Arial" w:cs="Arial"/>
          <w:sz w:val="21"/>
          <w:szCs w:val="21"/>
        </w:rPr>
        <w:t>636/1075</w:t>
      </w:r>
      <w:r w:rsidRPr="009D64E6">
        <w:rPr>
          <w:rFonts w:ascii="Arial" w:hAnsi="Arial" w:cs="Arial"/>
          <w:sz w:val="21"/>
          <w:szCs w:val="21"/>
        </w:rPr>
        <w:t xml:space="preserve">. Entretanto, a despeito da argumentação tecida no </w:t>
      </w:r>
      <w:r w:rsidRPr="009D64E6">
        <w:rPr>
          <w:rFonts w:ascii="Arial" w:hAnsi="Arial" w:cs="Arial"/>
          <w:b/>
          <w:sz w:val="21"/>
          <w:szCs w:val="21"/>
        </w:rPr>
        <w:t>DESPACH</w:t>
      </w:r>
      <w:r w:rsidR="009F1832" w:rsidRPr="009D64E6">
        <w:rPr>
          <w:rFonts w:ascii="Arial" w:hAnsi="Arial" w:cs="Arial"/>
          <w:b/>
          <w:sz w:val="21"/>
          <w:szCs w:val="21"/>
        </w:rPr>
        <w:t>O D-AMGESP-GP-39</w:t>
      </w:r>
      <w:r w:rsidR="00B23447">
        <w:rPr>
          <w:rFonts w:ascii="Arial" w:hAnsi="Arial" w:cs="Arial"/>
          <w:b/>
          <w:sz w:val="21"/>
          <w:szCs w:val="21"/>
        </w:rPr>
        <w:t>5</w:t>
      </w:r>
      <w:r w:rsidRPr="009D64E6">
        <w:rPr>
          <w:rFonts w:ascii="Arial" w:hAnsi="Arial" w:cs="Arial"/>
          <w:b/>
          <w:sz w:val="21"/>
          <w:szCs w:val="21"/>
        </w:rPr>
        <w:t>-12-2016</w:t>
      </w:r>
      <w:r w:rsidR="009F1832" w:rsidRPr="009D64E6">
        <w:rPr>
          <w:rFonts w:ascii="Arial" w:hAnsi="Arial" w:cs="Arial"/>
          <w:sz w:val="21"/>
          <w:szCs w:val="21"/>
        </w:rPr>
        <w:t xml:space="preserve"> (fl. </w:t>
      </w:r>
      <w:r w:rsidR="00B23447">
        <w:rPr>
          <w:rFonts w:ascii="Arial" w:hAnsi="Arial" w:cs="Arial"/>
          <w:sz w:val="21"/>
          <w:szCs w:val="21"/>
        </w:rPr>
        <w:t>1.080</w:t>
      </w:r>
      <w:r w:rsidRPr="009D64E6">
        <w:rPr>
          <w:rFonts w:ascii="Arial" w:hAnsi="Arial" w:cs="Arial"/>
          <w:sz w:val="21"/>
          <w:szCs w:val="21"/>
        </w:rPr>
        <w:t>), o órgão responsável pelas licitações do Poder Executivo Estadual restou silente quanto às razões que impossibilitaram a licitação dos fármacos objeto dos autos.</w:t>
      </w:r>
    </w:p>
    <w:p w:rsidR="00155E5F" w:rsidRDefault="00155E5F" w:rsidP="00B23447">
      <w:pPr>
        <w:spacing w:after="0" w:line="360" w:lineRule="auto"/>
        <w:ind w:firstLine="709"/>
        <w:jc w:val="both"/>
        <w:rPr>
          <w:rFonts w:ascii="Arial" w:hAnsi="Arial" w:cs="Arial"/>
          <w:sz w:val="21"/>
          <w:szCs w:val="21"/>
        </w:rPr>
      </w:pPr>
      <w:r w:rsidRPr="009D64E6">
        <w:rPr>
          <w:rFonts w:ascii="Arial" w:hAnsi="Arial" w:cs="Arial"/>
          <w:sz w:val="21"/>
          <w:szCs w:val="21"/>
        </w:rPr>
        <w:t>Em atendimento à solicitação da Procuradoria Geral do Estado – PGE às fls.</w:t>
      </w:r>
      <w:r w:rsidR="009F1832" w:rsidRPr="009D64E6">
        <w:rPr>
          <w:rFonts w:ascii="Arial" w:hAnsi="Arial" w:cs="Arial"/>
          <w:sz w:val="21"/>
          <w:szCs w:val="21"/>
        </w:rPr>
        <w:t xml:space="preserve"> 6</w:t>
      </w:r>
      <w:r w:rsidR="00B23447">
        <w:rPr>
          <w:rFonts w:ascii="Arial" w:hAnsi="Arial" w:cs="Arial"/>
          <w:sz w:val="21"/>
          <w:szCs w:val="21"/>
        </w:rPr>
        <w:t>33</w:t>
      </w:r>
      <w:r w:rsidRPr="009D64E6">
        <w:rPr>
          <w:rFonts w:ascii="Arial" w:hAnsi="Arial" w:cs="Arial"/>
          <w:sz w:val="21"/>
          <w:szCs w:val="21"/>
        </w:rPr>
        <w:t xml:space="preserve"> , a AMGESP deve se pronunciar expressamente acerca dos motivos que conduziram ao estado de emergencialidade delineado no processo em tela, haja vista que os procedimentos licitatórios para atendimento das Unidades de Saúde sob a tutela do Estado de Alagoas são</w:t>
      </w:r>
      <w:r w:rsidR="00B23447">
        <w:rPr>
          <w:rFonts w:ascii="Arial" w:hAnsi="Arial" w:cs="Arial"/>
          <w:sz w:val="21"/>
          <w:szCs w:val="21"/>
        </w:rPr>
        <w:t xml:space="preserve"> </w:t>
      </w:r>
      <w:r w:rsidRPr="009D64E6">
        <w:rPr>
          <w:rFonts w:ascii="Arial" w:hAnsi="Arial" w:cs="Arial"/>
          <w:sz w:val="21"/>
          <w:szCs w:val="21"/>
        </w:rPr>
        <w:t>de sua inteira responsabilidade. Nesse sentido, urge a remessa dos autos àquela autarquia estadual para esclarecimentos e ulterior providências que restarem necessárias.</w:t>
      </w:r>
    </w:p>
    <w:p w:rsidR="009D64E6" w:rsidRDefault="009D64E6" w:rsidP="00BB5798">
      <w:pPr>
        <w:spacing w:after="0" w:line="360" w:lineRule="auto"/>
        <w:jc w:val="both"/>
        <w:rPr>
          <w:rFonts w:ascii="Arial" w:hAnsi="Arial" w:cs="Arial"/>
          <w:sz w:val="21"/>
          <w:szCs w:val="21"/>
        </w:rPr>
      </w:pPr>
    </w:p>
    <w:p w:rsidR="009D64E6" w:rsidRDefault="009D64E6" w:rsidP="00BB5798">
      <w:pPr>
        <w:spacing w:after="0" w:line="360" w:lineRule="auto"/>
        <w:jc w:val="both"/>
        <w:rPr>
          <w:rFonts w:ascii="Arial" w:hAnsi="Arial" w:cs="Arial"/>
          <w:sz w:val="21"/>
          <w:szCs w:val="21"/>
        </w:rPr>
      </w:pPr>
    </w:p>
    <w:p w:rsidR="00B23447" w:rsidRDefault="00B23447" w:rsidP="00BB5798">
      <w:pPr>
        <w:spacing w:after="0" w:line="360" w:lineRule="auto"/>
        <w:jc w:val="both"/>
        <w:rPr>
          <w:rFonts w:ascii="Arial" w:hAnsi="Arial" w:cs="Arial"/>
          <w:sz w:val="21"/>
          <w:szCs w:val="21"/>
        </w:rPr>
      </w:pPr>
    </w:p>
    <w:p w:rsidR="00B23447" w:rsidRDefault="00B23447" w:rsidP="00BB5798">
      <w:pPr>
        <w:spacing w:after="0" w:line="360" w:lineRule="auto"/>
        <w:jc w:val="both"/>
        <w:rPr>
          <w:rFonts w:ascii="Arial" w:hAnsi="Arial" w:cs="Arial"/>
          <w:sz w:val="21"/>
          <w:szCs w:val="21"/>
        </w:rPr>
      </w:pPr>
    </w:p>
    <w:p w:rsidR="00155E5F" w:rsidRPr="009D64E6" w:rsidRDefault="00155E5F" w:rsidP="00155E5F">
      <w:pPr>
        <w:spacing w:after="0" w:line="360" w:lineRule="auto"/>
        <w:ind w:firstLine="709"/>
        <w:jc w:val="both"/>
        <w:rPr>
          <w:rFonts w:ascii="Arial" w:hAnsi="Arial" w:cs="Arial"/>
          <w:sz w:val="21"/>
          <w:szCs w:val="21"/>
        </w:rPr>
      </w:pPr>
    </w:p>
    <w:p w:rsidR="00155E5F" w:rsidRPr="009D64E6" w:rsidRDefault="00155E5F" w:rsidP="00155E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sz w:val="21"/>
          <w:szCs w:val="21"/>
        </w:rPr>
      </w:pPr>
      <w:r w:rsidRPr="009D64E6">
        <w:rPr>
          <w:rFonts w:ascii="Arial" w:hAnsi="Arial" w:cs="Arial"/>
          <w:b/>
          <w:sz w:val="21"/>
          <w:szCs w:val="21"/>
        </w:rPr>
        <w:t>2 - NO MÉRITO</w:t>
      </w:r>
    </w:p>
    <w:p w:rsidR="00155E5F" w:rsidRPr="009D64E6" w:rsidRDefault="00155E5F" w:rsidP="00155E5F">
      <w:pPr>
        <w:spacing w:after="0" w:line="360" w:lineRule="auto"/>
        <w:jc w:val="both"/>
        <w:rPr>
          <w:rFonts w:ascii="Arial" w:hAnsi="Arial" w:cs="Arial"/>
          <w:sz w:val="21"/>
          <w:szCs w:val="21"/>
          <w:highlight w:val="yellow"/>
        </w:rPr>
      </w:pPr>
    </w:p>
    <w:p w:rsidR="00BB5798" w:rsidRPr="009D64E6" w:rsidRDefault="00BB5798" w:rsidP="00BB5798">
      <w:pPr>
        <w:spacing w:after="0" w:line="360" w:lineRule="auto"/>
        <w:ind w:firstLine="708"/>
        <w:jc w:val="both"/>
        <w:rPr>
          <w:rFonts w:ascii="Arial" w:hAnsi="Arial" w:cs="Arial"/>
          <w:sz w:val="21"/>
          <w:szCs w:val="21"/>
        </w:rPr>
      </w:pPr>
      <w:r w:rsidRPr="009D64E6">
        <w:rPr>
          <w:rFonts w:ascii="Arial" w:hAnsi="Arial" w:cs="Arial"/>
          <w:sz w:val="21"/>
          <w:szCs w:val="21"/>
        </w:rPr>
        <w:t xml:space="preserve">De toda a explanação e detalhamento dos autos, contidos no </w:t>
      </w:r>
      <w:r w:rsidRPr="009D64E6">
        <w:rPr>
          <w:rFonts w:ascii="Arial" w:hAnsi="Arial" w:cs="Arial"/>
          <w:b/>
          <w:sz w:val="21"/>
          <w:szCs w:val="21"/>
        </w:rPr>
        <w:t>“Exame dos Autos”</w:t>
      </w:r>
      <w:r w:rsidRPr="009D64E6">
        <w:rPr>
          <w:rFonts w:ascii="Arial" w:hAnsi="Arial" w:cs="Arial"/>
          <w:sz w:val="21"/>
          <w:szCs w:val="21"/>
        </w:rPr>
        <w:t xml:space="preserve"> do presente Parecer e considerando a urgência que circunstancia a contratação, trazemos à baila as seguintes considerações, quais sejam:</w:t>
      </w:r>
    </w:p>
    <w:p w:rsidR="00E51652" w:rsidRPr="009D64E6" w:rsidRDefault="00BB5798" w:rsidP="00BB5798">
      <w:pPr>
        <w:pStyle w:val="PargrafodaLista"/>
        <w:numPr>
          <w:ilvl w:val="0"/>
          <w:numId w:val="1"/>
        </w:numPr>
        <w:spacing w:after="0" w:line="360" w:lineRule="auto"/>
        <w:rPr>
          <w:rFonts w:ascii="Arial" w:hAnsi="Arial" w:cs="Arial"/>
          <w:sz w:val="21"/>
          <w:szCs w:val="21"/>
        </w:rPr>
      </w:pPr>
      <w:r w:rsidRPr="009D64E6">
        <w:rPr>
          <w:rFonts w:ascii="Arial" w:hAnsi="Arial" w:cs="Arial"/>
          <w:b/>
          <w:sz w:val="21"/>
          <w:szCs w:val="21"/>
          <w:u w:val="single"/>
        </w:rPr>
        <w:t>QUANTIDADE INSUFICIENTE DE PROPOSTAS</w:t>
      </w:r>
      <w:r w:rsidRPr="009D64E6">
        <w:rPr>
          <w:rFonts w:ascii="Arial" w:hAnsi="Arial" w:cs="Arial"/>
          <w:sz w:val="21"/>
          <w:szCs w:val="21"/>
        </w:rPr>
        <w:t>. Resta necessário destacar que os itens</w:t>
      </w:r>
      <w:r w:rsidR="00FE6F74">
        <w:rPr>
          <w:rFonts w:ascii="Arial" w:hAnsi="Arial" w:cs="Arial"/>
          <w:sz w:val="21"/>
          <w:szCs w:val="21"/>
        </w:rPr>
        <w:t xml:space="preserve"> </w:t>
      </w:r>
      <w:r w:rsidRPr="009D64E6">
        <w:rPr>
          <w:rFonts w:ascii="Arial" w:hAnsi="Arial" w:cs="Arial"/>
          <w:sz w:val="21"/>
          <w:szCs w:val="21"/>
        </w:rPr>
        <w:t xml:space="preserve"> </w:t>
      </w:r>
      <w:r w:rsidRPr="009D64E6">
        <w:rPr>
          <w:rFonts w:ascii="Arial" w:hAnsi="Arial" w:cs="Arial"/>
          <w:b/>
          <w:sz w:val="21"/>
          <w:szCs w:val="21"/>
          <w:u w:val="single"/>
        </w:rPr>
        <w:t>01</w:t>
      </w:r>
      <w:r w:rsidRPr="009D64E6">
        <w:rPr>
          <w:rFonts w:ascii="Arial" w:hAnsi="Arial" w:cs="Arial"/>
          <w:sz w:val="21"/>
          <w:szCs w:val="21"/>
        </w:rPr>
        <w:t xml:space="preserve">, </w:t>
      </w:r>
      <w:r w:rsidRPr="009D64E6">
        <w:rPr>
          <w:rFonts w:ascii="Arial" w:hAnsi="Arial" w:cs="Arial"/>
          <w:b/>
          <w:sz w:val="21"/>
          <w:szCs w:val="21"/>
          <w:u w:val="single"/>
        </w:rPr>
        <w:t>0</w:t>
      </w:r>
      <w:r w:rsidR="00D466E4" w:rsidRPr="009D64E6">
        <w:rPr>
          <w:rFonts w:ascii="Arial" w:hAnsi="Arial" w:cs="Arial"/>
          <w:b/>
          <w:sz w:val="21"/>
          <w:szCs w:val="21"/>
          <w:u w:val="single"/>
        </w:rPr>
        <w:t>2</w:t>
      </w:r>
      <w:r w:rsidRPr="009D64E6">
        <w:rPr>
          <w:rFonts w:ascii="Arial" w:hAnsi="Arial" w:cs="Arial"/>
          <w:sz w:val="21"/>
          <w:szCs w:val="21"/>
        </w:rPr>
        <w:t>,</w:t>
      </w:r>
      <w:r w:rsidR="00FE6F74">
        <w:rPr>
          <w:rFonts w:ascii="Arial" w:hAnsi="Arial" w:cs="Arial"/>
          <w:sz w:val="21"/>
          <w:szCs w:val="21"/>
        </w:rPr>
        <w:t xml:space="preserve"> </w:t>
      </w:r>
      <w:r w:rsidR="00FE6F74" w:rsidRPr="00FE6F74">
        <w:rPr>
          <w:rFonts w:ascii="Arial" w:hAnsi="Arial" w:cs="Arial"/>
          <w:b/>
          <w:sz w:val="21"/>
          <w:szCs w:val="21"/>
          <w:u w:val="single"/>
        </w:rPr>
        <w:t>03</w:t>
      </w:r>
      <w:r w:rsidR="00FE6F74">
        <w:rPr>
          <w:rFonts w:ascii="Arial" w:hAnsi="Arial" w:cs="Arial"/>
          <w:sz w:val="21"/>
          <w:szCs w:val="21"/>
        </w:rPr>
        <w:t xml:space="preserve">, </w:t>
      </w:r>
      <w:r w:rsidR="00FE6F74" w:rsidRPr="00FE6F74">
        <w:rPr>
          <w:rFonts w:ascii="Arial" w:hAnsi="Arial" w:cs="Arial"/>
          <w:b/>
          <w:sz w:val="21"/>
          <w:szCs w:val="21"/>
          <w:u w:val="single"/>
        </w:rPr>
        <w:t>04</w:t>
      </w:r>
      <w:r w:rsidR="00FE6F74">
        <w:rPr>
          <w:rFonts w:ascii="Arial" w:hAnsi="Arial" w:cs="Arial"/>
          <w:sz w:val="21"/>
          <w:szCs w:val="21"/>
        </w:rPr>
        <w:t xml:space="preserve">, </w:t>
      </w:r>
      <w:r w:rsidRPr="009D64E6">
        <w:rPr>
          <w:rFonts w:ascii="Arial" w:hAnsi="Arial" w:cs="Arial"/>
          <w:b/>
          <w:sz w:val="21"/>
          <w:szCs w:val="21"/>
          <w:u w:val="single"/>
        </w:rPr>
        <w:t>0</w:t>
      </w:r>
      <w:r w:rsidR="00D466E4" w:rsidRPr="009D64E6">
        <w:rPr>
          <w:rFonts w:ascii="Arial" w:hAnsi="Arial" w:cs="Arial"/>
          <w:b/>
          <w:sz w:val="21"/>
          <w:szCs w:val="21"/>
          <w:u w:val="single"/>
        </w:rPr>
        <w:t>5</w:t>
      </w:r>
      <w:r w:rsidRPr="009D64E6">
        <w:rPr>
          <w:rFonts w:ascii="Arial" w:hAnsi="Arial" w:cs="Arial"/>
          <w:sz w:val="21"/>
          <w:szCs w:val="21"/>
        </w:rPr>
        <w:t>,</w:t>
      </w:r>
      <w:r w:rsidR="00FE6F74">
        <w:rPr>
          <w:rFonts w:ascii="Arial" w:hAnsi="Arial" w:cs="Arial"/>
          <w:sz w:val="21"/>
          <w:szCs w:val="21"/>
        </w:rPr>
        <w:t xml:space="preserve"> </w:t>
      </w:r>
      <w:r w:rsidR="00FE6F74" w:rsidRPr="00FE6F74">
        <w:rPr>
          <w:rFonts w:ascii="Arial" w:hAnsi="Arial" w:cs="Arial"/>
          <w:b/>
          <w:sz w:val="21"/>
          <w:szCs w:val="21"/>
          <w:u w:val="single"/>
        </w:rPr>
        <w:t>06</w:t>
      </w:r>
      <w:r w:rsidR="00FE6F74">
        <w:rPr>
          <w:rFonts w:ascii="Arial" w:hAnsi="Arial" w:cs="Arial"/>
          <w:sz w:val="21"/>
          <w:szCs w:val="21"/>
        </w:rPr>
        <w:t xml:space="preserve">, </w:t>
      </w:r>
      <w:r w:rsidR="00D466E4" w:rsidRPr="009D64E6">
        <w:rPr>
          <w:rFonts w:ascii="Arial" w:hAnsi="Arial" w:cs="Arial"/>
          <w:b/>
          <w:sz w:val="21"/>
          <w:szCs w:val="21"/>
          <w:u w:val="single"/>
        </w:rPr>
        <w:t>10</w:t>
      </w:r>
      <w:r w:rsidR="00D466E4" w:rsidRPr="009D64E6">
        <w:rPr>
          <w:rFonts w:ascii="Arial" w:hAnsi="Arial" w:cs="Arial"/>
          <w:sz w:val="21"/>
          <w:szCs w:val="21"/>
        </w:rPr>
        <w:t xml:space="preserve">, </w:t>
      </w:r>
      <w:r w:rsidR="00D466E4" w:rsidRPr="009D64E6">
        <w:rPr>
          <w:rFonts w:ascii="Arial" w:hAnsi="Arial" w:cs="Arial"/>
          <w:b/>
          <w:sz w:val="21"/>
          <w:szCs w:val="21"/>
          <w:u w:val="single"/>
        </w:rPr>
        <w:t>11</w:t>
      </w:r>
      <w:r w:rsidR="00D466E4" w:rsidRPr="009D64E6">
        <w:rPr>
          <w:rFonts w:ascii="Arial" w:hAnsi="Arial" w:cs="Arial"/>
          <w:sz w:val="21"/>
          <w:szCs w:val="21"/>
        </w:rPr>
        <w:t xml:space="preserve">, </w:t>
      </w:r>
      <w:r w:rsidR="00D466E4" w:rsidRPr="009D64E6">
        <w:rPr>
          <w:rFonts w:ascii="Arial" w:hAnsi="Arial" w:cs="Arial"/>
          <w:b/>
          <w:sz w:val="21"/>
          <w:szCs w:val="21"/>
          <w:u w:val="single"/>
        </w:rPr>
        <w:t>12</w:t>
      </w:r>
      <w:r w:rsidR="00D466E4" w:rsidRPr="009D64E6">
        <w:rPr>
          <w:rFonts w:ascii="Arial" w:hAnsi="Arial" w:cs="Arial"/>
          <w:sz w:val="21"/>
          <w:szCs w:val="21"/>
        </w:rPr>
        <w:t>,</w:t>
      </w:r>
      <w:r w:rsidR="00FE6F74">
        <w:rPr>
          <w:rFonts w:ascii="Arial" w:hAnsi="Arial" w:cs="Arial"/>
          <w:sz w:val="21"/>
          <w:szCs w:val="21"/>
        </w:rPr>
        <w:t xml:space="preserve"> </w:t>
      </w:r>
      <w:r w:rsidR="00FE6F74" w:rsidRPr="00FE6F74">
        <w:rPr>
          <w:rFonts w:ascii="Arial" w:hAnsi="Arial" w:cs="Arial"/>
          <w:b/>
          <w:sz w:val="21"/>
          <w:szCs w:val="21"/>
          <w:u w:val="single"/>
        </w:rPr>
        <w:t>13</w:t>
      </w:r>
      <w:r w:rsidR="00FE6F74">
        <w:rPr>
          <w:rFonts w:ascii="Arial" w:hAnsi="Arial" w:cs="Arial"/>
          <w:sz w:val="21"/>
          <w:szCs w:val="21"/>
        </w:rPr>
        <w:t xml:space="preserve">, </w:t>
      </w:r>
      <w:r w:rsidR="00FE6F74" w:rsidRPr="00FE6F74">
        <w:rPr>
          <w:rFonts w:ascii="Arial" w:hAnsi="Arial" w:cs="Arial"/>
          <w:b/>
          <w:sz w:val="21"/>
          <w:szCs w:val="21"/>
          <w:u w:val="single"/>
        </w:rPr>
        <w:t>14</w:t>
      </w:r>
      <w:r w:rsidR="00FE6F74">
        <w:rPr>
          <w:rFonts w:ascii="Arial" w:hAnsi="Arial" w:cs="Arial"/>
          <w:sz w:val="21"/>
          <w:szCs w:val="21"/>
        </w:rPr>
        <w:t xml:space="preserve">, </w:t>
      </w:r>
      <w:r w:rsidR="00FE6F74" w:rsidRPr="00FE6F74">
        <w:rPr>
          <w:rFonts w:ascii="Arial" w:hAnsi="Arial" w:cs="Arial"/>
          <w:b/>
          <w:sz w:val="21"/>
          <w:szCs w:val="21"/>
          <w:u w:val="single"/>
        </w:rPr>
        <w:t>16</w:t>
      </w:r>
      <w:r w:rsidR="00FE6F74">
        <w:rPr>
          <w:rFonts w:ascii="Arial" w:hAnsi="Arial" w:cs="Arial"/>
          <w:sz w:val="21"/>
          <w:szCs w:val="21"/>
        </w:rPr>
        <w:t xml:space="preserve">, </w:t>
      </w:r>
      <w:r w:rsidR="00FE6F74" w:rsidRPr="00FE6F74">
        <w:rPr>
          <w:rFonts w:ascii="Arial" w:hAnsi="Arial" w:cs="Arial"/>
          <w:b/>
          <w:sz w:val="21"/>
          <w:szCs w:val="21"/>
          <w:u w:val="single"/>
        </w:rPr>
        <w:t>17</w:t>
      </w:r>
      <w:r w:rsidR="00FE6F74">
        <w:rPr>
          <w:rFonts w:ascii="Arial" w:hAnsi="Arial" w:cs="Arial"/>
          <w:sz w:val="21"/>
          <w:szCs w:val="21"/>
        </w:rPr>
        <w:t xml:space="preserve">, </w:t>
      </w:r>
      <w:r w:rsidR="00FE6F74" w:rsidRPr="00FE6F74">
        <w:rPr>
          <w:rFonts w:ascii="Arial" w:hAnsi="Arial" w:cs="Arial"/>
          <w:b/>
          <w:sz w:val="21"/>
          <w:szCs w:val="21"/>
          <w:u w:val="single"/>
        </w:rPr>
        <w:t>18</w:t>
      </w:r>
      <w:r w:rsidR="00FE6F74" w:rsidRPr="00FE6F74">
        <w:rPr>
          <w:rFonts w:ascii="Arial" w:hAnsi="Arial" w:cs="Arial"/>
          <w:sz w:val="21"/>
          <w:szCs w:val="21"/>
        </w:rPr>
        <w:t>,</w:t>
      </w:r>
      <w:r w:rsidR="00FE6F74">
        <w:rPr>
          <w:rFonts w:ascii="Arial" w:hAnsi="Arial" w:cs="Arial"/>
          <w:sz w:val="21"/>
          <w:szCs w:val="21"/>
        </w:rPr>
        <w:t xml:space="preserve"> </w:t>
      </w:r>
      <w:r w:rsidR="00FE6F74" w:rsidRPr="00FE6F74">
        <w:rPr>
          <w:rFonts w:ascii="Arial" w:hAnsi="Arial" w:cs="Arial"/>
          <w:b/>
          <w:sz w:val="21"/>
          <w:szCs w:val="21"/>
          <w:u w:val="single"/>
        </w:rPr>
        <w:t>19</w:t>
      </w:r>
      <w:r w:rsidR="00FE6F74">
        <w:rPr>
          <w:rFonts w:ascii="Arial" w:hAnsi="Arial" w:cs="Arial"/>
          <w:sz w:val="21"/>
          <w:szCs w:val="21"/>
        </w:rPr>
        <w:t xml:space="preserve">, </w:t>
      </w:r>
      <w:r w:rsidR="00FE6F74" w:rsidRPr="00FE6F74">
        <w:rPr>
          <w:rFonts w:ascii="Arial" w:hAnsi="Arial" w:cs="Arial"/>
          <w:b/>
          <w:sz w:val="21"/>
          <w:szCs w:val="21"/>
          <w:u w:val="single"/>
        </w:rPr>
        <w:t>20</w:t>
      </w:r>
      <w:r w:rsidR="00FE6F74">
        <w:rPr>
          <w:rFonts w:ascii="Arial" w:hAnsi="Arial" w:cs="Arial"/>
          <w:sz w:val="21"/>
          <w:szCs w:val="21"/>
        </w:rPr>
        <w:t xml:space="preserve">, </w:t>
      </w:r>
      <w:r w:rsidR="00FE6F74" w:rsidRPr="00FE6F74">
        <w:rPr>
          <w:rFonts w:ascii="Arial" w:hAnsi="Arial" w:cs="Arial"/>
          <w:b/>
          <w:sz w:val="21"/>
          <w:szCs w:val="21"/>
          <w:u w:val="single"/>
        </w:rPr>
        <w:t>25</w:t>
      </w:r>
      <w:r w:rsidR="00FE6F74">
        <w:rPr>
          <w:rFonts w:ascii="Arial" w:hAnsi="Arial" w:cs="Arial"/>
          <w:sz w:val="21"/>
          <w:szCs w:val="21"/>
        </w:rPr>
        <w:t xml:space="preserve">, </w:t>
      </w:r>
      <w:r w:rsidR="00FE6F74" w:rsidRPr="00FE6F74">
        <w:rPr>
          <w:rFonts w:ascii="Arial" w:hAnsi="Arial" w:cs="Arial"/>
          <w:b/>
          <w:sz w:val="21"/>
          <w:szCs w:val="21"/>
          <w:u w:val="single"/>
        </w:rPr>
        <w:t>26</w:t>
      </w:r>
      <w:r w:rsidR="00FE6F74">
        <w:rPr>
          <w:rFonts w:ascii="Arial" w:hAnsi="Arial" w:cs="Arial"/>
          <w:sz w:val="21"/>
          <w:szCs w:val="21"/>
        </w:rPr>
        <w:t xml:space="preserve">, </w:t>
      </w:r>
      <w:r w:rsidR="00FE6F74" w:rsidRPr="00FE6F74">
        <w:rPr>
          <w:rFonts w:ascii="Arial" w:hAnsi="Arial" w:cs="Arial"/>
          <w:b/>
          <w:sz w:val="21"/>
          <w:szCs w:val="21"/>
          <w:u w:val="single"/>
        </w:rPr>
        <w:t>27</w:t>
      </w:r>
      <w:r w:rsidR="00FE6F74">
        <w:rPr>
          <w:rFonts w:ascii="Arial" w:hAnsi="Arial" w:cs="Arial"/>
          <w:sz w:val="21"/>
          <w:szCs w:val="21"/>
        </w:rPr>
        <w:t xml:space="preserve">, </w:t>
      </w:r>
      <w:r w:rsidR="00FE6F74" w:rsidRPr="00FE6F74">
        <w:rPr>
          <w:rFonts w:ascii="Arial" w:hAnsi="Arial" w:cs="Arial"/>
          <w:b/>
          <w:sz w:val="21"/>
          <w:szCs w:val="21"/>
          <w:u w:val="single"/>
        </w:rPr>
        <w:t>28</w:t>
      </w:r>
      <w:r w:rsidR="00FE6F74">
        <w:rPr>
          <w:rFonts w:ascii="Arial" w:hAnsi="Arial" w:cs="Arial"/>
          <w:sz w:val="21"/>
          <w:szCs w:val="21"/>
        </w:rPr>
        <w:t xml:space="preserve">, </w:t>
      </w:r>
      <w:r w:rsidR="00FE6F74" w:rsidRPr="00FE6F74">
        <w:rPr>
          <w:rFonts w:ascii="Arial" w:hAnsi="Arial" w:cs="Arial"/>
          <w:b/>
          <w:sz w:val="21"/>
          <w:szCs w:val="21"/>
          <w:u w:val="single"/>
        </w:rPr>
        <w:t>29</w:t>
      </w:r>
      <w:r w:rsidR="00D466E4" w:rsidRPr="009D64E6">
        <w:rPr>
          <w:rFonts w:ascii="Arial" w:hAnsi="Arial" w:cs="Arial"/>
          <w:sz w:val="21"/>
          <w:szCs w:val="21"/>
        </w:rPr>
        <w:t xml:space="preserve">, </w:t>
      </w:r>
      <w:r w:rsidRPr="009D64E6">
        <w:rPr>
          <w:rFonts w:ascii="Arial" w:hAnsi="Arial" w:cs="Arial"/>
          <w:sz w:val="21"/>
          <w:szCs w:val="21"/>
        </w:rPr>
        <w:t xml:space="preserve">e </w:t>
      </w:r>
      <w:r w:rsidR="00FE6F74" w:rsidRPr="00FE6F74">
        <w:rPr>
          <w:rFonts w:ascii="Arial" w:hAnsi="Arial" w:cs="Arial"/>
          <w:b/>
          <w:sz w:val="21"/>
          <w:szCs w:val="21"/>
          <w:u w:val="single"/>
        </w:rPr>
        <w:t>30</w:t>
      </w:r>
      <w:r w:rsidRPr="009D64E6">
        <w:rPr>
          <w:rFonts w:ascii="Arial" w:hAnsi="Arial" w:cs="Arial"/>
          <w:sz w:val="21"/>
          <w:szCs w:val="21"/>
        </w:rPr>
        <w:t xml:space="preserve"> </w:t>
      </w:r>
      <w:r w:rsidR="00D466E4" w:rsidRPr="009D64E6">
        <w:rPr>
          <w:rFonts w:ascii="Arial" w:hAnsi="Arial" w:cs="Arial"/>
          <w:sz w:val="21"/>
          <w:szCs w:val="21"/>
        </w:rPr>
        <w:t>apresentaram quantidade insuficiente de propostas</w:t>
      </w:r>
      <w:r w:rsidR="00E51652" w:rsidRPr="009D64E6">
        <w:rPr>
          <w:rFonts w:ascii="Arial" w:hAnsi="Arial" w:cs="Arial"/>
          <w:sz w:val="21"/>
          <w:szCs w:val="21"/>
        </w:rPr>
        <w:t>, descumprindo a legislação vigente, bem como a</w:t>
      </w:r>
      <w:r w:rsidR="00D466E4" w:rsidRPr="009D64E6">
        <w:rPr>
          <w:rFonts w:ascii="Arial" w:hAnsi="Arial" w:cs="Arial"/>
          <w:sz w:val="21"/>
          <w:szCs w:val="21"/>
        </w:rPr>
        <w:t xml:space="preserve"> </w:t>
      </w:r>
      <w:r w:rsidR="00E51652" w:rsidRPr="009D64E6">
        <w:rPr>
          <w:rFonts w:ascii="Arial" w:hAnsi="Arial" w:cs="Arial"/>
          <w:sz w:val="21"/>
          <w:szCs w:val="21"/>
        </w:rPr>
        <w:t xml:space="preserve">ausência de justificativa pelo órgão contratante para aquisição nas presentes circunstâncias, onde sugerimos a devolução ao órgão de origem para complementação das propostas </w:t>
      </w:r>
      <w:r w:rsidR="00E51652" w:rsidRPr="009D64E6">
        <w:rPr>
          <w:rFonts w:ascii="Arial" w:hAnsi="Arial" w:cs="Arial"/>
          <w:color w:val="FF0000"/>
          <w:sz w:val="21"/>
          <w:szCs w:val="21"/>
        </w:rPr>
        <w:t>(Lilian Favor melhorar redação)</w:t>
      </w:r>
      <w:r w:rsidR="00E51652" w:rsidRPr="009D64E6">
        <w:rPr>
          <w:rFonts w:ascii="Arial" w:hAnsi="Arial" w:cs="Arial"/>
          <w:sz w:val="21"/>
          <w:szCs w:val="21"/>
        </w:rPr>
        <w:t>.</w:t>
      </w:r>
    </w:p>
    <w:p w:rsidR="00BB5798" w:rsidRPr="009D64E6" w:rsidRDefault="00E51652" w:rsidP="00BB5798">
      <w:pPr>
        <w:pStyle w:val="PargrafodaLista"/>
        <w:numPr>
          <w:ilvl w:val="0"/>
          <w:numId w:val="1"/>
        </w:numPr>
        <w:spacing w:after="0" w:line="360" w:lineRule="auto"/>
        <w:rPr>
          <w:rFonts w:ascii="Arial" w:hAnsi="Arial" w:cs="Arial"/>
          <w:sz w:val="21"/>
          <w:szCs w:val="21"/>
        </w:rPr>
      </w:pPr>
      <w:r w:rsidRPr="009D64E6">
        <w:rPr>
          <w:rFonts w:ascii="Arial" w:hAnsi="Arial" w:cs="Arial"/>
          <w:b/>
          <w:sz w:val="21"/>
          <w:szCs w:val="21"/>
          <w:u w:val="single"/>
        </w:rPr>
        <w:t>AUSÊNCIA DE PROPOSTAS</w:t>
      </w:r>
      <w:r w:rsidRPr="009D64E6">
        <w:rPr>
          <w:rFonts w:ascii="Arial" w:hAnsi="Arial" w:cs="Arial"/>
          <w:sz w:val="21"/>
          <w:szCs w:val="21"/>
        </w:rPr>
        <w:t xml:space="preserve">. </w:t>
      </w:r>
      <w:r w:rsidR="00D466E4" w:rsidRPr="009D64E6">
        <w:rPr>
          <w:rFonts w:ascii="Arial" w:hAnsi="Arial" w:cs="Arial"/>
          <w:sz w:val="21"/>
          <w:szCs w:val="21"/>
        </w:rPr>
        <w:t xml:space="preserve"> </w:t>
      </w:r>
      <w:r w:rsidRPr="009D64E6">
        <w:rPr>
          <w:rFonts w:ascii="Arial" w:hAnsi="Arial" w:cs="Arial"/>
          <w:sz w:val="21"/>
          <w:szCs w:val="21"/>
        </w:rPr>
        <w:t>Quanto</w:t>
      </w:r>
      <w:r w:rsidR="00D466E4" w:rsidRPr="009D64E6">
        <w:rPr>
          <w:rFonts w:ascii="Arial" w:hAnsi="Arial" w:cs="Arial"/>
          <w:sz w:val="21"/>
          <w:szCs w:val="21"/>
        </w:rPr>
        <w:t xml:space="preserve"> aos itens </w:t>
      </w:r>
      <w:r w:rsidR="00D466E4" w:rsidRPr="00FE6F74">
        <w:rPr>
          <w:rFonts w:ascii="Arial" w:hAnsi="Arial" w:cs="Arial"/>
          <w:b/>
          <w:sz w:val="21"/>
          <w:szCs w:val="21"/>
          <w:u w:val="single"/>
        </w:rPr>
        <w:t>07</w:t>
      </w:r>
      <w:r w:rsidR="00D466E4" w:rsidRPr="009D64E6">
        <w:rPr>
          <w:rFonts w:ascii="Arial" w:hAnsi="Arial" w:cs="Arial"/>
          <w:sz w:val="21"/>
          <w:szCs w:val="21"/>
        </w:rPr>
        <w:t xml:space="preserve">, </w:t>
      </w:r>
      <w:r w:rsidR="00FE6F74" w:rsidRPr="00FE6F74">
        <w:rPr>
          <w:rFonts w:ascii="Arial" w:hAnsi="Arial" w:cs="Arial"/>
          <w:b/>
          <w:sz w:val="21"/>
          <w:szCs w:val="21"/>
          <w:u w:val="single"/>
        </w:rPr>
        <w:t>08</w:t>
      </w:r>
      <w:r w:rsidR="00D466E4" w:rsidRPr="009D64E6">
        <w:rPr>
          <w:rFonts w:ascii="Arial" w:hAnsi="Arial" w:cs="Arial"/>
          <w:sz w:val="21"/>
          <w:szCs w:val="21"/>
        </w:rPr>
        <w:t xml:space="preserve">, </w:t>
      </w:r>
      <w:r w:rsidR="00FE6F74" w:rsidRPr="00FE6F74">
        <w:rPr>
          <w:rFonts w:ascii="Arial" w:hAnsi="Arial" w:cs="Arial"/>
          <w:b/>
          <w:sz w:val="21"/>
          <w:szCs w:val="21"/>
          <w:u w:val="single"/>
        </w:rPr>
        <w:t>09</w:t>
      </w:r>
      <w:r w:rsidR="00FE6F74">
        <w:rPr>
          <w:rFonts w:ascii="Arial" w:hAnsi="Arial" w:cs="Arial"/>
          <w:sz w:val="21"/>
          <w:szCs w:val="21"/>
        </w:rPr>
        <w:t xml:space="preserve">, </w:t>
      </w:r>
      <w:r w:rsidR="00D466E4" w:rsidRPr="00FE6F74">
        <w:rPr>
          <w:rFonts w:ascii="Arial" w:hAnsi="Arial" w:cs="Arial"/>
          <w:b/>
          <w:sz w:val="21"/>
          <w:szCs w:val="21"/>
          <w:u w:val="single"/>
        </w:rPr>
        <w:t>1</w:t>
      </w:r>
      <w:r w:rsidR="00FE6F74" w:rsidRPr="00FE6F74">
        <w:rPr>
          <w:rFonts w:ascii="Arial" w:hAnsi="Arial" w:cs="Arial"/>
          <w:b/>
          <w:sz w:val="21"/>
          <w:szCs w:val="21"/>
          <w:u w:val="single"/>
        </w:rPr>
        <w:t>5</w:t>
      </w:r>
      <w:r w:rsidR="00D466E4" w:rsidRPr="009D64E6">
        <w:rPr>
          <w:rFonts w:ascii="Arial" w:hAnsi="Arial" w:cs="Arial"/>
          <w:sz w:val="21"/>
          <w:szCs w:val="21"/>
        </w:rPr>
        <w:t xml:space="preserve">, </w:t>
      </w:r>
      <w:r w:rsidR="00FE6F74" w:rsidRPr="00FE6F74">
        <w:rPr>
          <w:rFonts w:ascii="Arial" w:hAnsi="Arial" w:cs="Arial"/>
          <w:b/>
          <w:sz w:val="21"/>
          <w:szCs w:val="21"/>
          <w:u w:val="single"/>
        </w:rPr>
        <w:t>2</w:t>
      </w:r>
      <w:r w:rsidR="00D466E4" w:rsidRPr="00FE6F74">
        <w:rPr>
          <w:rFonts w:ascii="Arial" w:hAnsi="Arial" w:cs="Arial"/>
          <w:b/>
          <w:sz w:val="21"/>
          <w:szCs w:val="21"/>
          <w:u w:val="single"/>
        </w:rPr>
        <w:t>1</w:t>
      </w:r>
      <w:r w:rsidR="00D466E4" w:rsidRPr="009D64E6">
        <w:rPr>
          <w:rFonts w:ascii="Arial" w:hAnsi="Arial" w:cs="Arial"/>
          <w:sz w:val="21"/>
          <w:szCs w:val="21"/>
        </w:rPr>
        <w:t xml:space="preserve">, </w:t>
      </w:r>
      <w:r w:rsidR="00FE6F74" w:rsidRPr="00FE6F74">
        <w:rPr>
          <w:rFonts w:ascii="Arial" w:hAnsi="Arial" w:cs="Arial"/>
          <w:b/>
          <w:sz w:val="21"/>
          <w:szCs w:val="21"/>
          <w:u w:val="single"/>
        </w:rPr>
        <w:t>22</w:t>
      </w:r>
      <w:r w:rsidR="00FE6F74">
        <w:rPr>
          <w:rFonts w:ascii="Arial" w:hAnsi="Arial" w:cs="Arial"/>
          <w:sz w:val="21"/>
          <w:szCs w:val="21"/>
        </w:rPr>
        <w:t xml:space="preserve">, </w:t>
      </w:r>
      <w:r w:rsidR="00FE6F74" w:rsidRPr="00FE6F74">
        <w:rPr>
          <w:rFonts w:ascii="Arial" w:hAnsi="Arial" w:cs="Arial"/>
          <w:b/>
          <w:sz w:val="21"/>
          <w:szCs w:val="21"/>
          <w:u w:val="single"/>
        </w:rPr>
        <w:t>23</w:t>
      </w:r>
      <w:r w:rsidR="00FE6F74">
        <w:rPr>
          <w:rFonts w:ascii="Arial" w:hAnsi="Arial" w:cs="Arial"/>
          <w:sz w:val="21"/>
          <w:szCs w:val="21"/>
        </w:rPr>
        <w:t xml:space="preserve"> e </w:t>
      </w:r>
      <w:r w:rsidR="00FE6F74" w:rsidRPr="00FE6F74">
        <w:rPr>
          <w:rFonts w:ascii="Arial" w:hAnsi="Arial" w:cs="Arial"/>
          <w:b/>
          <w:sz w:val="21"/>
          <w:szCs w:val="21"/>
          <w:u w:val="single"/>
        </w:rPr>
        <w:t>24</w:t>
      </w:r>
      <w:r w:rsidR="00D466E4" w:rsidRPr="009D64E6">
        <w:rPr>
          <w:rFonts w:ascii="Arial" w:hAnsi="Arial" w:cs="Arial"/>
          <w:sz w:val="21"/>
          <w:szCs w:val="21"/>
        </w:rPr>
        <w:t xml:space="preserve">, nenhuma proposta foi apresentada para os mesmos, </w:t>
      </w:r>
      <w:r w:rsidRPr="009D64E6">
        <w:rPr>
          <w:rFonts w:ascii="Arial" w:hAnsi="Arial" w:cs="Arial"/>
          <w:sz w:val="21"/>
          <w:szCs w:val="21"/>
        </w:rPr>
        <w:t>fato este contrariando</w:t>
      </w:r>
      <w:r w:rsidR="00BB5798" w:rsidRPr="009D64E6">
        <w:rPr>
          <w:rFonts w:ascii="Arial" w:hAnsi="Arial" w:cs="Arial"/>
          <w:sz w:val="21"/>
          <w:szCs w:val="21"/>
        </w:rPr>
        <w:t xml:space="preserve"> à legislação vigente, </w:t>
      </w:r>
      <w:r w:rsidR="00D466E4" w:rsidRPr="009D64E6">
        <w:rPr>
          <w:rFonts w:ascii="Arial" w:hAnsi="Arial" w:cs="Arial"/>
          <w:sz w:val="21"/>
          <w:szCs w:val="21"/>
        </w:rPr>
        <w:t xml:space="preserve"> </w:t>
      </w:r>
      <w:r w:rsidRPr="009D64E6">
        <w:rPr>
          <w:rFonts w:ascii="Arial" w:hAnsi="Arial" w:cs="Arial"/>
          <w:sz w:val="21"/>
          <w:szCs w:val="21"/>
        </w:rPr>
        <w:t>d</w:t>
      </w:r>
      <w:r w:rsidR="00D466E4" w:rsidRPr="009D64E6">
        <w:rPr>
          <w:rFonts w:ascii="Arial" w:hAnsi="Arial" w:cs="Arial"/>
          <w:sz w:val="21"/>
          <w:szCs w:val="21"/>
        </w:rPr>
        <w:t xml:space="preserve">onde sugerimos a devolução ao órgão de origem para </w:t>
      </w:r>
      <w:r w:rsidRPr="009D64E6">
        <w:rPr>
          <w:rFonts w:ascii="Arial" w:hAnsi="Arial" w:cs="Arial"/>
          <w:sz w:val="21"/>
          <w:szCs w:val="21"/>
        </w:rPr>
        <w:t xml:space="preserve">um novo chamamento para apresentação de propostas relativas aos itens </w:t>
      </w:r>
      <w:r w:rsidR="009D64E6" w:rsidRPr="009D64E6">
        <w:rPr>
          <w:rFonts w:ascii="Arial" w:hAnsi="Arial" w:cs="Arial"/>
          <w:sz w:val="21"/>
          <w:szCs w:val="21"/>
        </w:rPr>
        <w:t>supra</w:t>
      </w:r>
      <w:r w:rsidRPr="009D64E6">
        <w:rPr>
          <w:rFonts w:ascii="Arial" w:hAnsi="Arial" w:cs="Arial"/>
          <w:sz w:val="21"/>
          <w:szCs w:val="21"/>
        </w:rPr>
        <w:t>mencionados</w:t>
      </w:r>
      <w:r w:rsidR="009D64E6" w:rsidRPr="009D64E6">
        <w:rPr>
          <w:rFonts w:ascii="Arial" w:hAnsi="Arial" w:cs="Arial"/>
          <w:sz w:val="21"/>
          <w:szCs w:val="21"/>
        </w:rPr>
        <w:t>.</w:t>
      </w:r>
      <w:r w:rsidR="00D466E4" w:rsidRPr="009D64E6">
        <w:rPr>
          <w:rFonts w:ascii="Arial" w:hAnsi="Arial" w:cs="Arial"/>
          <w:sz w:val="21"/>
          <w:szCs w:val="21"/>
        </w:rPr>
        <w:t xml:space="preserve"> </w:t>
      </w:r>
      <w:r w:rsidR="00D466E4" w:rsidRPr="009D64E6">
        <w:rPr>
          <w:rFonts w:ascii="Arial" w:hAnsi="Arial" w:cs="Arial"/>
          <w:color w:val="FF0000"/>
          <w:sz w:val="21"/>
          <w:szCs w:val="21"/>
        </w:rPr>
        <w:t>(Lilian Favor melhorar redação)</w:t>
      </w:r>
      <w:r w:rsidR="00BB5798" w:rsidRPr="009D64E6">
        <w:rPr>
          <w:rFonts w:ascii="Arial" w:hAnsi="Arial" w:cs="Arial"/>
          <w:sz w:val="21"/>
          <w:szCs w:val="21"/>
        </w:rPr>
        <w:t>.</w:t>
      </w:r>
    </w:p>
    <w:p w:rsidR="00D466E4" w:rsidRPr="009D64E6" w:rsidRDefault="00D466E4" w:rsidP="00D466E4">
      <w:pPr>
        <w:pStyle w:val="PargrafodaLista"/>
        <w:spacing w:after="0" w:line="360" w:lineRule="auto"/>
        <w:ind w:left="1069"/>
        <w:rPr>
          <w:rFonts w:ascii="Arial" w:hAnsi="Arial" w:cs="Arial"/>
          <w:sz w:val="21"/>
          <w:szCs w:val="21"/>
        </w:rPr>
      </w:pPr>
    </w:p>
    <w:p w:rsidR="00BB5798" w:rsidRPr="009D64E6" w:rsidRDefault="00BB5798" w:rsidP="00BB57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sz w:val="21"/>
          <w:szCs w:val="21"/>
        </w:rPr>
      </w:pPr>
      <w:r w:rsidRPr="009D64E6">
        <w:rPr>
          <w:rFonts w:ascii="Arial" w:hAnsi="Arial" w:cs="Arial"/>
          <w:b/>
          <w:sz w:val="21"/>
          <w:szCs w:val="21"/>
        </w:rPr>
        <w:t>3 - CONCLUSÃO</w:t>
      </w:r>
    </w:p>
    <w:p w:rsidR="00BB5798" w:rsidRPr="009D64E6" w:rsidRDefault="00BB5798" w:rsidP="00BB5798">
      <w:pPr>
        <w:pStyle w:val="SemEspaamento"/>
        <w:spacing w:line="360" w:lineRule="auto"/>
        <w:ind w:firstLine="708"/>
        <w:jc w:val="both"/>
        <w:rPr>
          <w:rFonts w:ascii="Arial" w:hAnsi="Arial" w:cs="Arial"/>
          <w:sz w:val="21"/>
          <w:szCs w:val="21"/>
        </w:rPr>
      </w:pPr>
    </w:p>
    <w:p w:rsidR="00BB5798" w:rsidRPr="009D64E6" w:rsidRDefault="00BB5798" w:rsidP="00BB5798">
      <w:pPr>
        <w:pStyle w:val="SemEspaamento"/>
        <w:spacing w:line="360" w:lineRule="auto"/>
        <w:ind w:firstLine="708"/>
        <w:jc w:val="both"/>
        <w:rPr>
          <w:rFonts w:ascii="Arial" w:hAnsi="Arial" w:cs="Arial"/>
          <w:sz w:val="21"/>
          <w:szCs w:val="21"/>
        </w:rPr>
      </w:pPr>
      <w:r w:rsidRPr="009D64E6">
        <w:rPr>
          <w:rFonts w:ascii="Arial" w:hAnsi="Arial" w:cs="Arial"/>
          <w:sz w:val="21"/>
          <w:szCs w:val="21"/>
        </w:rPr>
        <w:t>Dessa forma, diante das informações apresentadas, opinamos pela possibilidade de aquisição</w:t>
      </w:r>
      <w:r w:rsidR="009D64E6" w:rsidRPr="009D64E6">
        <w:rPr>
          <w:rFonts w:ascii="Arial" w:hAnsi="Arial" w:cs="Arial"/>
          <w:sz w:val="21"/>
          <w:szCs w:val="21"/>
        </w:rPr>
        <w:t xml:space="preserve"> dos medicamentos</w:t>
      </w:r>
      <w:r w:rsidRPr="009D64E6">
        <w:rPr>
          <w:rFonts w:ascii="Arial" w:hAnsi="Arial" w:cs="Arial"/>
          <w:sz w:val="21"/>
          <w:szCs w:val="21"/>
        </w:rPr>
        <w:t xml:space="preserve">, desde que atendidas as determinações insertas no item 2 – NO MÉRITO, letras </w:t>
      </w:r>
      <w:r w:rsidRPr="009D64E6">
        <w:rPr>
          <w:rFonts w:ascii="Arial" w:hAnsi="Arial" w:cs="Arial"/>
          <w:b/>
          <w:sz w:val="21"/>
          <w:szCs w:val="21"/>
        </w:rPr>
        <w:t>“a”</w:t>
      </w:r>
      <w:r w:rsidR="009D64E6" w:rsidRPr="009D64E6">
        <w:rPr>
          <w:rFonts w:ascii="Arial" w:hAnsi="Arial" w:cs="Arial"/>
          <w:b/>
          <w:sz w:val="21"/>
          <w:szCs w:val="21"/>
        </w:rPr>
        <w:t xml:space="preserve"> </w:t>
      </w:r>
      <w:r w:rsidR="009D64E6" w:rsidRPr="009D64E6">
        <w:rPr>
          <w:rFonts w:ascii="Arial" w:hAnsi="Arial" w:cs="Arial"/>
          <w:sz w:val="21"/>
          <w:szCs w:val="21"/>
        </w:rPr>
        <w:t>e</w:t>
      </w:r>
      <w:r w:rsidR="009D64E6" w:rsidRPr="009D64E6">
        <w:rPr>
          <w:rFonts w:ascii="Arial" w:hAnsi="Arial" w:cs="Arial"/>
          <w:b/>
          <w:sz w:val="21"/>
          <w:szCs w:val="21"/>
        </w:rPr>
        <w:t xml:space="preserve"> “b”</w:t>
      </w:r>
      <w:r w:rsidRPr="009D64E6">
        <w:rPr>
          <w:rFonts w:ascii="Arial" w:hAnsi="Arial" w:cs="Arial"/>
          <w:sz w:val="21"/>
          <w:szCs w:val="21"/>
        </w:rPr>
        <w:t xml:space="preserve"> </w:t>
      </w:r>
    </w:p>
    <w:p w:rsidR="00155E5F" w:rsidRPr="009D64E6" w:rsidRDefault="00BB5798" w:rsidP="00BB5798">
      <w:pPr>
        <w:pStyle w:val="SemEspaamento"/>
        <w:spacing w:line="360" w:lineRule="auto"/>
        <w:ind w:firstLine="708"/>
        <w:jc w:val="both"/>
        <w:rPr>
          <w:rFonts w:ascii="Arial" w:hAnsi="Arial" w:cs="Arial"/>
          <w:sz w:val="21"/>
          <w:szCs w:val="21"/>
        </w:rPr>
      </w:pPr>
      <w:r w:rsidRPr="009D64E6">
        <w:rPr>
          <w:rFonts w:ascii="Arial" w:hAnsi="Arial" w:cs="Arial"/>
          <w:sz w:val="21"/>
          <w:szCs w:val="21"/>
        </w:rPr>
        <w:t xml:space="preserve">Diante do exposto, encaminhem-se os autos ao Gabinete da Controladora Geral, para conhecimento do parecer apresentado, sugerindo o encaminhamento </w:t>
      </w:r>
      <w:r w:rsidR="009D64E6" w:rsidRPr="009D64E6">
        <w:rPr>
          <w:rFonts w:ascii="Arial" w:hAnsi="Arial" w:cs="Arial"/>
          <w:sz w:val="21"/>
          <w:szCs w:val="21"/>
        </w:rPr>
        <w:t xml:space="preserve">a </w:t>
      </w:r>
      <w:r w:rsidR="00FE6F74">
        <w:rPr>
          <w:rFonts w:ascii="Arial" w:hAnsi="Arial" w:cs="Arial"/>
          <w:sz w:val="21"/>
          <w:szCs w:val="21"/>
        </w:rPr>
        <w:t>AGÊNCIA DE MODERNIZAÇÃO DA GESTÃO DE PROCESSOS</w:t>
      </w:r>
      <w:r w:rsidR="009D64E6" w:rsidRPr="009D64E6">
        <w:rPr>
          <w:rFonts w:ascii="Arial" w:hAnsi="Arial" w:cs="Arial"/>
          <w:sz w:val="21"/>
          <w:szCs w:val="21"/>
        </w:rPr>
        <w:t xml:space="preserve"> - </w:t>
      </w:r>
      <w:r w:rsidR="00FE6F74">
        <w:rPr>
          <w:rFonts w:ascii="Arial" w:hAnsi="Arial" w:cs="Arial"/>
          <w:sz w:val="21"/>
          <w:szCs w:val="21"/>
        </w:rPr>
        <w:t>AMGESP</w:t>
      </w:r>
      <w:r w:rsidRPr="009D64E6">
        <w:rPr>
          <w:rFonts w:ascii="Arial" w:hAnsi="Arial" w:cs="Arial"/>
          <w:sz w:val="21"/>
          <w:szCs w:val="21"/>
        </w:rPr>
        <w:t xml:space="preserve">, </w:t>
      </w:r>
      <w:r w:rsidRPr="009D64E6">
        <w:rPr>
          <w:rFonts w:ascii="Arial" w:hAnsi="Arial" w:cs="Arial"/>
          <w:color w:val="FF0000"/>
          <w:sz w:val="21"/>
          <w:szCs w:val="21"/>
        </w:rPr>
        <w:t>para conhecimento e procedimentos de sua competência</w:t>
      </w:r>
      <w:r w:rsidR="009D64E6" w:rsidRPr="009D64E6">
        <w:rPr>
          <w:rFonts w:ascii="Arial" w:hAnsi="Arial" w:cs="Arial"/>
          <w:sz w:val="21"/>
          <w:szCs w:val="21"/>
        </w:rPr>
        <w:t xml:space="preserve"> </w:t>
      </w:r>
      <w:r w:rsidR="009D64E6" w:rsidRPr="009D64E6">
        <w:rPr>
          <w:rFonts w:ascii="Arial" w:hAnsi="Arial" w:cs="Arial"/>
          <w:color w:val="FF0000"/>
          <w:sz w:val="21"/>
          <w:szCs w:val="21"/>
        </w:rPr>
        <w:t>(Lilian Favor melhorar redação)</w:t>
      </w:r>
      <w:r w:rsidRPr="009D64E6">
        <w:rPr>
          <w:rFonts w:ascii="Arial" w:hAnsi="Arial" w:cs="Arial"/>
          <w:sz w:val="21"/>
          <w:szCs w:val="21"/>
        </w:rPr>
        <w:t>.</w:t>
      </w:r>
    </w:p>
    <w:p w:rsidR="00155E5F" w:rsidRPr="009D64E6" w:rsidRDefault="00155E5F" w:rsidP="00155E5F">
      <w:pPr>
        <w:spacing w:after="0" w:line="360" w:lineRule="auto"/>
        <w:ind w:firstLine="709"/>
        <w:jc w:val="center"/>
        <w:rPr>
          <w:rFonts w:ascii="Arial" w:hAnsi="Arial" w:cs="Arial"/>
          <w:sz w:val="21"/>
          <w:szCs w:val="21"/>
        </w:rPr>
      </w:pPr>
      <w:r w:rsidRPr="009D64E6">
        <w:rPr>
          <w:rFonts w:ascii="Arial" w:hAnsi="Arial" w:cs="Arial"/>
          <w:sz w:val="21"/>
          <w:szCs w:val="21"/>
        </w:rPr>
        <w:t xml:space="preserve">Maceió/AL, </w:t>
      </w:r>
      <w:r w:rsidR="009F1832" w:rsidRPr="009D64E6">
        <w:rPr>
          <w:rFonts w:ascii="Arial" w:hAnsi="Arial" w:cs="Arial"/>
          <w:sz w:val="21"/>
          <w:szCs w:val="21"/>
        </w:rPr>
        <w:t>1</w:t>
      </w:r>
      <w:r w:rsidR="0048581A">
        <w:rPr>
          <w:rFonts w:ascii="Arial" w:hAnsi="Arial" w:cs="Arial"/>
          <w:sz w:val="21"/>
          <w:szCs w:val="21"/>
        </w:rPr>
        <w:t>6</w:t>
      </w:r>
      <w:r w:rsidRPr="009D64E6">
        <w:rPr>
          <w:rFonts w:ascii="Arial" w:hAnsi="Arial" w:cs="Arial"/>
          <w:sz w:val="21"/>
          <w:szCs w:val="21"/>
        </w:rPr>
        <w:t xml:space="preserve"> de janeiro de 2017.</w:t>
      </w:r>
    </w:p>
    <w:p w:rsidR="00377BEC" w:rsidRPr="009D64E6" w:rsidRDefault="00377BEC" w:rsidP="00155E5F">
      <w:pPr>
        <w:spacing w:after="0" w:line="360" w:lineRule="auto"/>
        <w:ind w:firstLine="709"/>
        <w:jc w:val="center"/>
        <w:rPr>
          <w:rFonts w:ascii="Arial" w:hAnsi="Arial" w:cs="Arial"/>
          <w:sz w:val="21"/>
          <w:szCs w:val="21"/>
        </w:rPr>
      </w:pPr>
    </w:p>
    <w:p w:rsidR="00377BEC" w:rsidRPr="009D64E6" w:rsidRDefault="00377BEC" w:rsidP="00377BEC">
      <w:pPr>
        <w:spacing w:after="0" w:line="240" w:lineRule="auto"/>
        <w:jc w:val="center"/>
        <w:rPr>
          <w:rFonts w:ascii="Arial" w:hAnsi="Arial" w:cs="Arial"/>
          <w:b/>
          <w:sz w:val="21"/>
          <w:szCs w:val="21"/>
        </w:rPr>
      </w:pPr>
      <w:r w:rsidRPr="009D64E6">
        <w:rPr>
          <w:rFonts w:ascii="Arial" w:hAnsi="Arial" w:cs="Arial"/>
          <w:b/>
          <w:sz w:val="21"/>
          <w:szCs w:val="21"/>
        </w:rPr>
        <w:t>Luiz Honorato de Castro Júnior</w:t>
      </w:r>
    </w:p>
    <w:p w:rsidR="00377BEC" w:rsidRPr="009D64E6" w:rsidRDefault="00377BEC" w:rsidP="00377BEC">
      <w:pPr>
        <w:spacing w:after="0" w:line="360" w:lineRule="auto"/>
        <w:ind w:firstLine="709"/>
        <w:jc w:val="center"/>
        <w:rPr>
          <w:rFonts w:ascii="Arial" w:hAnsi="Arial" w:cs="Arial"/>
          <w:sz w:val="21"/>
          <w:szCs w:val="21"/>
        </w:rPr>
      </w:pPr>
      <w:r w:rsidRPr="009D64E6">
        <w:rPr>
          <w:rFonts w:ascii="Arial" w:hAnsi="Arial" w:cs="Arial"/>
          <w:sz w:val="21"/>
          <w:szCs w:val="21"/>
        </w:rPr>
        <w:t>Assessor de Controle Interno / Mat. 121-0</w:t>
      </w:r>
    </w:p>
    <w:p w:rsidR="00155E5F" w:rsidRPr="009D64E6" w:rsidRDefault="00155E5F" w:rsidP="00155E5F">
      <w:pPr>
        <w:tabs>
          <w:tab w:val="left" w:pos="0"/>
        </w:tabs>
        <w:spacing w:after="0" w:line="240" w:lineRule="auto"/>
        <w:rPr>
          <w:rFonts w:ascii="Arial" w:hAnsi="Arial" w:cs="Arial"/>
          <w:sz w:val="21"/>
          <w:szCs w:val="21"/>
        </w:rPr>
      </w:pPr>
      <w:r w:rsidRPr="009D64E6">
        <w:rPr>
          <w:rFonts w:ascii="Arial" w:hAnsi="Arial" w:cs="Arial"/>
          <w:sz w:val="21"/>
          <w:szCs w:val="21"/>
        </w:rPr>
        <w:t>De acordo:</w:t>
      </w:r>
    </w:p>
    <w:p w:rsidR="009F1832" w:rsidRPr="009D64E6" w:rsidRDefault="009F1832" w:rsidP="00155E5F">
      <w:pPr>
        <w:spacing w:after="0" w:line="240" w:lineRule="auto"/>
        <w:ind w:firstLine="709"/>
        <w:jc w:val="center"/>
        <w:rPr>
          <w:rFonts w:ascii="Arial" w:hAnsi="Arial" w:cs="Arial"/>
          <w:b/>
          <w:sz w:val="21"/>
          <w:szCs w:val="21"/>
        </w:rPr>
      </w:pPr>
      <w:r w:rsidRPr="009D64E6">
        <w:rPr>
          <w:rFonts w:ascii="Arial" w:hAnsi="Arial" w:cs="Arial"/>
          <w:b/>
          <w:sz w:val="21"/>
          <w:szCs w:val="21"/>
        </w:rPr>
        <w:t>Rita de Cassia A. Soriano</w:t>
      </w:r>
    </w:p>
    <w:p w:rsidR="00155E5F" w:rsidRPr="00377BEC" w:rsidRDefault="00155E5F" w:rsidP="00155E5F">
      <w:pPr>
        <w:spacing w:after="0" w:line="240" w:lineRule="auto"/>
        <w:ind w:firstLine="709"/>
        <w:jc w:val="center"/>
        <w:rPr>
          <w:rFonts w:ascii="Arial" w:hAnsi="Arial" w:cs="Arial"/>
          <w:color w:val="FF0000"/>
        </w:rPr>
      </w:pPr>
      <w:r w:rsidRPr="009D64E6">
        <w:rPr>
          <w:rFonts w:ascii="Arial" w:hAnsi="Arial" w:cs="Arial"/>
          <w:sz w:val="21"/>
          <w:szCs w:val="21"/>
        </w:rPr>
        <w:t xml:space="preserve">Superintendente de Auditagem </w:t>
      </w:r>
      <w:r w:rsidR="009F1832" w:rsidRPr="009D64E6">
        <w:rPr>
          <w:rFonts w:ascii="Arial" w:hAnsi="Arial" w:cs="Arial"/>
          <w:sz w:val="21"/>
          <w:szCs w:val="21"/>
        </w:rPr>
        <w:t xml:space="preserve">em exercício </w:t>
      </w:r>
      <w:r w:rsidRPr="009D64E6">
        <w:rPr>
          <w:rFonts w:ascii="Arial" w:hAnsi="Arial" w:cs="Arial"/>
          <w:sz w:val="21"/>
          <w:szCs w:val="21"/>
        </w:rPr>
        <w:t xml:space="preserve">- Matrícula n° </w:t>
      </w:r>
      <w:r w:rsidR="009F1832" w:rsidRPr="009D64E6">
        <w:rPr>
          <w:rFonts w:ascii="Arial" w:hAnsi="Arial" w:cs="Arial"/>
          <w:sz w:val="21"/>
          <w:szCs w:val="21"/>
        </w:rPr>
        <w:t>99-0</w:t>
      </w:r>
    </w:p>
    <w:p w:rsidR="00F65B4A" w:rsidRDefault="00F65B4A"/>
    <w:sectPr w:rsidR="00F65B4A" w:rsidSect="00BB5798">
      <w:headerReference w:type="default" r:id="rId8"/>
      <w:footerReference w:type="default" r:id="rId9"/>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E3E" w:rsidRDefault="00F24E3E" w:rsidP="007B1ABD">
      <w:pPr>
        <w:spacing w:after="0" w:line="240" w:lineRule="auto"/>
      </w:pPr>
      <w:r>
        <w:separator/>
      </w:r>
    </w:p>
  </w:endnote>
  <w:endnote w:type="continuationSeparator" w:id="1">
    <w:p w:rsidR="00F24E3E" w:rsidRDefault="00F24E3E" w:rsidP="007B1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CA" w:rsidRDefault="007E60B0">
    <w:pPr>
      <w:pStyle w:val="Rodap"/>
    </w:pPr>
    <w:r>
      <w:rPr>
        <w:noProof/>
        <w:lang w:eastAsia="pt-BR"/>
      </w:rPr>
      <w:drawing>
        <wp:anchor distT="0" distB="0" distL="114300" distR="114300" simplePos="0" relativeHeight="251661312" behindDoc="1" locked="0" layoutInCell="1" allowOverlap="1">
          <wp:simplePos x="0" y="0"/>
          <wp:positionH relativeFrom="column">
            <wp:posOffset>5191760</wp:posOffset>
          </wp:positionH>
          <wp:positionV relativeFrom="paragraph">
            <wp:posOffset>-255270</wp:posOffset>
          </wp:positionV>
          <wp:extent cx="708025" cy="692150"/>
          <wp:effectExtent l="19050" t="0" r="0" b="0"/>
          <wp:wrapNone/>
          <wp:docPr id="14" name="Imagem 3" descr="S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Setas.png"/>
                  <pic:cNvPicPr>
                    <a:picLocks noChangeAspect="1" noChangeArrowheads="1"/>
                  </pic:cNvPicPr>
                </pic:nvPicPr>
                <pic:blipFill>
                  <a:blip r:embed="rId1"/>
                  <a:srcRect/>
                  <a:stretch>
                    <a:fillRect/>
                  </a:stretch>
                </pic:blipFill>
                <pic:spPr bwMode="auto">
                  <a:xfrm>
                    <a:off x="0" y="0"/>
                    <a:ext cx="708025" cy="692150"/>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60288" behindDoc="1" locked="0" layoutInCell="1" allowOverlap="1">
          <wp:simplePos x="0" y="0"/>
          <wp:positionH relativeFrom="column">
            <wp:posOffset>-535305</wp:posOffset>
          </wp:positionH>
          <wp:positionV relativeFrom="paragraph">
            <wp:posOffset>-256540</wp:posOffset>
          </wp:positionV>
          <wp:extent cx="1373505" cy="548640"/>
          <wp:effectExtent l="19050" t="0" r="0" b="0"/>
          <wp:wrapNone/>
          <wp:docPr id="13" name="Imagem 2" descr="Marca Gov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Marca Governo.png"/>
                  <pic:cNvPicPr>
                    <a:picLocks noChangeAspect="1" noChangeArrowheads="1"/>
                  </pic:cNvPicPr>
                </pic:nvPicPr>
                <pic:blipFill>
                  <a:blip r:embed="rId2"/>
                  <a:srcRect/>
                  <a:stretch>
                    <a:fillRect/>
                  </a:stretch>
                </pic:blipFill>
                <pic:spPr bwMode="auto">
                  <a:xfrm>
                    <a:off x="0" y="0"/>
                    <a:ext cx="1373505" cy="54864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E3E" w:rsidRDefault="00F24E3E" w:rsidP="007B1ABD">
      <w:pPr>
        <w:spacing w:after="0" w:line="240" w:lineRule="auto"/>
      </w:pPr>
      <w:r>
        <w:separator/>
      </w:r>
    </w:p>
  </w:footnote>
  <w:footnote w:type="continuationSeparator" w:id="1">
    <w:p w:rsidR="00F24E3E" w:rsidRDefault="00F24E3E" w:rsidP="007B1A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CA" w:rsidRPr="00E968DE" w:rsidRDefault="002975FC" w:rsidP="00E968DE">
    <w:pPr>
      <w:pStyle w:val="Cabealho"/>
      <w:rPr>
        <w:szCs w:val="17"/>
      </w:rPr>
    </w:pPr>
    <w:r>
      <w:rPr>
        <w:noProof/>
        <w:szCs w:val="17"/>
        <w:lang w:eastAsia="pt-BR"/>
      </w:rPr>
      <w:pict>
        <v:shapetype id="_x0000_t202" coordsize="21600,21600" o:spt="202" path="m,l,21600r21600,l21600,xe">
          <v:stroke joinstyle="miter"/>
          <v:path gradientshapeok="t" o:connecttype="rect"/>
        </v:shapetype>
        <v:shape id="_x0000_s1026" type="#_x0000_t202" style="position:absolute;margin-left:458.7pt;margin-top:22.35pt;width:101.85pt;height:26.25pt;z-index:251664384" filled="f" stroked="f">
          <v:textbox style="mso-next-textbox:#_x0000_s1026">
            <w:txbxContent>
              <w:p w:rsidR="00BF49CA" w:rsidRPr="003068B9" w:rsidRDefault="007E60B0" w:rsidP="00E968DE">
                <w:pPr>
                  <w:rPr>
                    <w:rFonts w:ascii="Arial" w:hAnsi="Arial" w:cs="Arial"/>
                    <w:sz w:val="24"/>
                    <w:szCs w:val="24"/>
                  </w:rPr>
                </w:pPr>
                <w:r w:rsidRPr="003068B9">
                  <w:rPr>
                    <w:rFonts w:ascii="Arial" w:hAnsi="Arial" w:cs="Arial"/>
                    <w:sz w:val="24"/>
                    <w:szCs w:val="24"/>
                  </w:rPr>
                  <w:t>00</w:t>
                </w:r>
              </w:p>
            </w:txbxContent>
          </v:textbox>
        </v:shape>
      </w:pict>
    </w:r>
    <w:r>
      <w:rPr>
        <w:noProof/>
        <w:szCs w:val="17"/>
        <w:lang w:eastAsia="pt-BR"/>
      </w:rPr>
      <w:pict>
        <v:shape id="_x0000_s1025" type="#_x0000_t202" style="position:absolute;margin-left:104.7pt;margin-top:-7.65pt;width:330pt;height:40.5pt;z-index:251663360;v-text-anchor:middle" filled="f" stroked="f">
          <v:textbox style="mso-next-textbox:#_x0000_s1025">
            <w:txbxContent>
              <w:p w:rsidR="00BF49CA" w:rsidRPr="0098367C" w:rsidRDefault="007E60B0" w:rsidP="00E968DE">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E60B0">
      <w:rPr>
        <w:noProof/>
        <w:szCs w:val="17"/>
        <w:lang w:eastAsia="pt-BR"/>
      </w:rPr>
      <w:drawing>
        <wp:anchor distT="0" distB="0" distL="114300" distR="114300" simplePos="0" relativeHeight="251662336"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22"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C0127"/>
    <w:multiLevelType w:val="hybridMultilevel"/>
    <w:tmpl w:val="929E2480"/>
    <w:lvl w:ilvl="0" w:tplc="C614AB6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155E5F"/>
    <w:rsid w:val="001558D2"/>
    <w:rsid w:val="00155E5F"/>
    <w:rsid w:val="001645F2"/>
    <w:rsid w:val="0018306F"/>
    <w:rsid w:val="002118F6"/>
    <w:rsid w:val="00270B79"/>
    <w:rsid w:val="002975FC"/>
    <w:rsid w:val="00347CC5"/>
    <w:rsid w:val="00377BEC"/>
    <w:rsid w:val="0048581A"/>
    <w:rsid w:val="004C0995"/>
    <w:rsid w:val="00610E61"/>
    <w:rsid w:val="007A7E12"/>
    <w:rsid w:val="007B1ABD"/>
    <w:rsid w:val="007E60B0"/>
    <w:rsid w:val="009D64E6"/>
    <w:rsid w:val="009F1832"/>
    <w:rsid w:val="00B23447"/>
    <w:rsid w:val="00B32DB1"/>
    <w:rsid w:val="00BB5798"/>
    <w:rsid w:val="00BF3F24"/>
    <w:rsid w:val="00D466E4"/>
    <w:rsid w:val="00E51652"/>
    <w:rsid w:val="00F24E3E"/>
    <w:rsid w:val="00F65B4A"/>
    <w:rsid w:val="00FE33D2"/>
    <w:rsid w:val="00FE6F7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5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5E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5E5F"/>
    <w:rPr>
      <w:rFonts w:ascii="Calibri" w:eastAsia="Calibri" w:hAnsi="Calibri" w:cs="Times New Roman"/>
    </w:rPr>
  </w:style>
  <w:style w:type="paragraph" w:styleId="Rodap">
    <w:name w:val="footer"/>
    <w:basedOn w:val="Normal"/>
    <w:link w:val="RodapChar"/>
    <w:uiPriority w:val="99"/>
    <w:semiHidden/>
    <w:unhideWhenUsed/>
    <w:rsid w:val="00155E5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55E5F"/>
    <w:rPr>
      <w:rFonts w:ascii="Calibri" w:eastAsia="Calibri" w:hAnsi="Calibri" w:cs="Times New Roman"/>
    </w:rPr>
  </w:style>
  <w:style w:type="paragraph" w:styleId="SemEspaamento">
    <w:name w:val="No Spacing"/>
    <w:uiPriority w:val="1"/>
    <w:qFormat/>
    <w:rsid w:val="00155E5F"/>
    <w:pPr>
      <w:suppressAutoHyphens/>
      <w:spacing w:after="0" w:line="240" w:lineRule="auto"/>
    </w:pPr>
    <w:rPr>
      <w:rFonts w:ascii="Calibri" w:eastAsia="Calibri" w:hAnsi="Calibri" w:cs="Calibri"/>
      <w:lang w:eastAsia="ar-SA"/>
    </w:rPr>
  </w:style>
  <w:style w:type="character" w:styleId="Hyperlink">
    <w:name w:val="Hyperlink"/>
    <w:basedOn w:val="Fontepargpadro"/>
    <w:uiPriority w:val="99"/>
    <w:unhideWhenUsed/>
    <w:rsid w:val="00155E5F"/>
    <w:rPr>
      <w:color w:val="0000FF"/>
      <w:u w:val="single"/>
    </w:rPr>
  </w:style>
  <w:style w:type="paragraph" w:styleId="PargrafodaLista">
    <w:name w:val="List Paragraph"/>
    <w:basedOn w:val="Normal"/>
    <w:uiPriority w:val="1"/>
    <w:qFormat/>
    <w:rsid w:val="00BB5798"/>
    <w:pPr>
      <w:spacing w:before="120"/>
      <w:ind w:left="720"/>
      <w:contextualSpacing/>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aude.al.gov.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1033</Words>
  <Characters>5580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luiz.honorato</cp:lastModifiedBy>
  <cp:revision>3</cp:revision>
  <dcterms:created xsi:type="dcterms:W3CDTF">2017-01-13T13:27:00Z</dcterms:created>
  <dcterms:modified xsi:type="dcterms:W3CDTF">2017-01-16T16:02:00Z</dcterms:modified>
</cp:coreProperties>
</file>