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6F4D68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6F4D68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9D660F" wp14:editId="25DA4EF6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 w:hint="eastAsia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Pr="00D22B5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9" w:name="_GoBack"/>
      <w:bookmarkEnd w:id="9"/>
    </w:p>
    <w:p w:rsidR="007E2F30" w:rsidRPr="00D22B5B" w:rsidRDefault="007E2F30" w:rsidP="00D22B5B">
      <w:pPr>
        <w:spacing w:line="360" w:lineRule="auto"/>
        <w:rPr>
          <w:rFonts w:ascii="宋体" w:hAnsi="宋体"/>
          <w:sz w:val="24"/>
        </w:rPr>
      </w:pPr>
      <w:r w:rsidRPr="00D22B5B">
        <w:rPr>
          <w:rFonts w:ascii="宋体" w:hAnsi="宋体"/>
          <w:sz w:val="24"/>
        </w:rPr>
        <w:t>多次度几何分析</w:t>
      </w: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D64D50" w:rsidRDefault="00FA5E1A" w:rsidP="007E2F3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lastRenderedPageBreak/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240783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</w:t>
      </w:r>
      <w:r w:rsidR="00240783"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图3 二维</w:t>
      </w:r>
      <w:r>
        <w:rPr>
          <w:rFonts w:ascii="宋体" w:hAnsi="宋体"/>
          <w:sz w:val="24"/>
        </w:rPr>
        <w:t>信号DCT变换</w:t>
      </w:r>
    </w:p>
    <w:p w:rsidR="00E77D61" w:rsidRPr="00E4642E" w:rsidRDefault="00D51958" w:rsidP="00E77D6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/>
          <w:sz w:val="24"/>
        </w:rPr>
        <w:t>的时候只需要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 w:hint="eastAsia"/>
          <w:sz w:val="24"/>
        </w:rPr>
        <w:t>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</w:t>
      </w:r>
      <w:r w:rsidR="00DF6EFA">
        <w:rPr>
          <w:rFonts w:ascii="宋体" w:hAnsi="宋体" w:hint="eastAsia"/>
          <w:sz w:val="24"/>
        </w:rPr>
        <w:t>极大</w:t>
      </w:r>
      <w:r w:rsidR="00DF6EFA">
        <w:rPr>
          <w:rFonts w:ascii="宋体" w:hAnsi="宋体"/>
          <w:sz w:val="24"/>
        </w:rPr>
        <w:t>的减少了</w:t>
      </w:r>
      <w:r w:rsidR="00DF6EFA">
        <w:rPr>
          <w:rFonts w:ascii="宋体" w:hAnsi="宋体" w:hint="eastAsia"/>
          <w:sz w:val="24"/>
        </w:rPr>
        <w:t>存储的</w:t>
      </w:r>
      <w:r w:rsidR="00DF6EFA">
        <w:rPr>
          <w:rFonts w:ascii="宋体" w:hAnsi="宋体"/>
          <w:sz w:val="24"/>
        </w:rPr>
        <w:t>信息</w:t>
      </w:r>
      <w:r w:rsidR="00DF6EFA">
        <w:rPr>
          <w:rFonts w:ascii="宋体" w:hAnsi="宋体" w:hint="eastAsia"/>
          <w:sz w:val="24"/>
        </w:rPr>
        <w:t>量，</w:t>
      </w:r>
      <w:r w:rsidR="00A43E55">
        <w:rPr>
          <w:rFonts w:ascii="宋体" w:hAnsi="宋体" w:hint="eastAsia"/>
          <w:sz w:val="24"/>
        </w:rPr>
        <w:t>但</w:t>
      </w:r>
      <w:r w:rsidR="00DF6EFA">
        <w:rPr>
          <w:rFonts w:ascii="宋体" w:hAnsi="宋体"/>
          <w:sz w:val="24"/>
        </w:rPr>
        <w:t>重构的图像与原始图像</w:t>
      </w:r>
      <w:r w:rsidR="00DF6EFA">
        <w:rPr>
          <w:rFonts w:ascii="宋体" w:hAnsi="宋体" w:hint="eastAsia"/>
          <w:sz w:val="24"/>
        </w:rPr>
        <w:t>差别</w:t>
      </w:r>
      <w:r w:rsidR="00A43E55">
        <w:rPr>
          <w:rFonts w:ascii="宋体" w:hAnsi="宋体" w:hint="eastAsia"/>
          <w:sz w:val="24"/>
        </w:rPr>
        <w:t>却</w:t>
      </w:r>
      <w:r w:rsidR="00DF6EFA">
        <w:rPr>
          <w:rFonts w:ascii="宋体" w:hAnsi="宋体"/>
          <w:sz w:val="24"/>
        </w:rPr>
        <w:t>很小。</w:t>
      </w:r>
      <w:r w:rsidR="00A43E55">
        <w:rPr>
          <w:rFonts w:ascii="宋体" w:hAnsi="宋体" w:hint="eastAsia"/>
          <w:sz w:val="24"/>
        </w:rPr>
        <w:t>因此</w:t>
      </w:r>
      <w:r w:rsidR="00A43E55">
        <w:rPr>
          <w:rFonts w:ascii="宋体" w:hAnsi="宋体"/>
          <w:sz w:val="24"/>
        </w:rPr>
        <w:t>，在某些对图像精度要求不高的环境中，图像信息的稀疏处理能</w:t>
      </w:r>
      <w:r w:rsidR="00A43E55">
        <w:rPr>
          <w:rFonts w:ascii="宋体" w:hAnsi="宋体" w:hint="eastAsia"/>
          <w:sz w:val="24"/>
        </w:rPr>
        <w:t>极大</w:t>
      </w:r>
      <w:r w:rsidR="00A43E55">
        <w:rPr>
          <w:rFonts w:ascii="宋体" w:hAnsi="宋体"/>
          <w:sz w:val="24"/>
        </w:rPr>
        <w:t>的</w:t>
      </w:r>
      <w:r w:rsidR="00A43E55">
        <w:rPr>
          <w:rFonts w:ascii="宋体" w:hAnsi="宋体" w:hint="eastAsia"/>
          <w:sz w:val="24"/>
        </w:rPr>
        <w:t>降低</w:t>
      </w:r>
      <w:r w:rsidR="00A43E55">
        <w:rPr>
          <w:rFonts w:ascii="宋体" w:hAnsi="宋体"/>
          <w:sz w:val="24"/>
        </w:rPr>
        <w:t>存储带来的成本代价。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E77D61" w:rsidRPr="00E77D61" w:rsidRDefault="00E77D61" w:rsidP="00E77D61">
      <w:pPr>
        <w:ind w:firstLineChars="200" w:firstLine="420"/>
      </w:pP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68" w:rsidRDefault="006F4D68" w:rsidP="0052113B">
      <w:r>
        <w:separator/>
      </w:r>
    </w:p>
  </w:endnote>
  <w:endnote w:type="continuationSeparator" w:id="0">
    <w:p w:rsidR="006F4D68" w:rsidRDefault="006F4D68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68" w:rsidRDefault="006F4D68" w:rsidP="0052113B">
      <w:r>
        <w:separator/>
      </w:r>
    </w:p>
  </w:footnote>
  <w:footnote w:type="continuationSeparator" w:id="0">
    <w:p w:rsidR="006F4D68" w:rsidRDefault="006F4D68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725C"/>
    <w:rsid w:val="001A20E7"/>
    <w:rsid w:val="001B0610"/>
    <w:rsid w:val="001C290B"/>
    <w:rsid w:val="00204AD4"/>
    <w:rsid w:val="00210DAC"/>
    <w:rsid w:val="00213544"/>
    <w:rsid w:val="00213598"/>
    <w:rsid w:val="0023413A"/>
    <w:rsid w:val="0023513D"/>
    <w:rsid w:val="00240783"/>
    <w:rsid w:val="0027521F"/>
    <w:rsid w:val="0029790C"/>
    <w:rsid w:val="002B5485"/>
    <w:rsid w:val="002C093F"/>
    <w:rsid w:val="002C27D3"/>
    <w:rsid w:val="002D3B76"/>
    <w:rsid w:val="002D551F"/>
    <w:rsid w:val="002F0F40"/>
    <w:rsid w:val="002F1502"/>
    <w:rsid w:val="002F3950"/>
    <w:rsid w:val="00303E44"/>
    <w:rsid w:val="00373BC1"/>
    <w:rsid w:val="003901F6"/>
    <w:rsid w:val="00393251"/>
    <w:rsid w:val="00396EEC"/>
    <w:rsid w:val="003A0514"/>
    <w:rsid w:val="003A08AF"/>
    <w:rsid w:val="003E20D0"/>
    <w:rsid w:val="003E455D"/>
    <w:rsid w:val="003E4BC6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854E5"/>
    <w:rsid w:val="004A58EF"/>
    <w:rsid w:val="004B697C"/>
    <w:rsid w:val="004C22CE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64E2"/>
    <w:rsid w:val="005B38A0"/>
    <w:rsid w:val="005C12C6"/>
    <w:rsid w:val="005C16A0"/>
    <w:rsid w:val="005D66AD"/>
    <w:rsid w:val="005E6C30"/>
    <w:rsid w:val="005F44D4"/>
    <w:rsid w:val="00606394"/>
    <w:rsid w:val="006225F8"/>
    <w:rsid w:val="00635876"/>
    <w:rsid w:val="00636597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F2C32"/>
    <w:rsid w:val="006F3F97"/>
    <w:rsid w:val="006F4D68"/>
    <w:rsid w:val="00711E96"/>
    <w:rsid w:val="00736712"/>
    <w:rsid w:val="007507C4"/>
    <w:rsid w:val="00755F45"/>
    <w:rsid w:val="00756E6D"/>
    <w:rsid w:val="00771BDB"/>
    <w:rsid w:val="00777A5B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109F3"/>
    <w:rsid w:val="008254FA"/>
    <w:rsid w:val="0085766F"/>
    <w:rsid w:val="0086534D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D4A43"/>
    <w:rsid w:val="008F104B"/>
    <w:rsid w:val="0091478F"/>
    <w:rsid w:val="009207C3"/>
    <w:rsid w:val="009564F4"/>
    <w:rsid w:val="00962F12"/>
    <w:rsid w:val="0098140B"/>
    <w:rsid w:val="0098157E"/>
    <w:rsid w:val="00983BCE"/>
    <w:rsid w:val="00991E60"/>
    <w:rsid w:val="00996B13"/>
    <w:rsid w:val="009A57D4"/>
    <w:rsid w:val="009A6CD2"/>
    <w:rsid w:val="009B29B9"/>
    <w:rsid w:val="009B592A"/>
    <w:rsid w:val="009C487F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B13692"/>
    <w:rsid w:val="00B21FC6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22B5B"/>
    <w:rsid w:val="00D320DF"/>
    <w:rsid w:val="00D43F06"/>
    <w:rsid w:val="00D51958"/>
    <w:rsid w:val="00D571E7"/>
    <w:rsid w:val="00D6122F"/>
    <w:rsid w:val="00D64D50"/>
    <w:rsid w:val="00D75877"/>
    <w:rsid w:val="00D96E75"/>
    <w:rsid w:val="00DA06E5"/>
    <w:rsid w:val="00DB6E16"/>
    <w:rsid w:val="00DC0F6D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77D61"/>
    <w:rsid w:val="00E92329"/>
    <w:rsid w:val="00EB243B"/>
    <w:rsid w:val="00ED0911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51"/>
    <w:rsid w:val="00006559"/>
    <w:rsid w:val="00575FC4"/>
    <w:rsid w:val="00A13667"/>
    <w:rsid w:val="00DB1AF3"/>
    <w:rsid w:val="00E03693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5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8EE9D-0160-4CB6-9188-5284603A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12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135</cp:revision>
  <cp:lastPrinted>2016-04-04T05:24:00Z</cp:lastPrinted>
  <dcterms:created xsi:type="dcterms:W3CDTF">2016-04-04T01:30:00Z</dcterms:created>
  <dcterms:modified xsi:type="dcterms:W3CDTF">2016-04-23T06:28:00Z</dcterms:modified>
</cp:coreProperties>
</file>