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465557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465557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>
        <w:rPr>
          <w:rFonts w:ascii="黑体" w:eastAsia="黑体" w:hAnsi="黑体"/>
          <w:b w:val="0"/>
          <w:sz w:val="28"/>
        </w:rPr>
        <w:t>的稀疏表示方法</w:t>
      </w:r>
    </w:p>
    <w:p w:rsidR="00D64D50" w:rsidRDefault="00FA5E1A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的稀疏性是压缩感知的前提。如果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Default="00B21FC6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一个</w:t>
      </w:r>
      <w:r w:rsidR="00FA236F">
        <w:rPr>
          <w:rFonts w:ascii="宋体" w:hAnsi="宋体"/>
          <w:sz w:val="24"/>
        </w:rPr>
        <w:t>已知的</w:t>
      </w:r>
      <w:r w:rsidR="006F2C32">
        <w:rPr>
          <w:rFonts w:ascii="宋体" w:hAnsi="宋体" w:hint="eastAsia"/>
          <w:sz w:val="24"/>
        </w:rPr>
        <w:t>一维连续时间</w:t>
      </w:r>
      <w:r w:rsidR="006F2C32">
        <w:rPr>
          <w:rFonts w:ascii="宋体" w:hAnsi="宋体"/>
          <w:sz w:val="24"/>
        </w:rPr>
        <w:t>信号</w:t>
      </w:r>
      <w:r w:rsidR="000A5420">
        <w:rPr>
          <w:rFonts w:ascii="宋体" w:hAnsi="宋体" w:hint="eastAsia"/>
          <w:sz w:val="24"/>
        </w:rPr>
        <w:t>f</w:t>
      </w:r>
      <w:r w:rsidR="006F2C32">
        <w:rPr>
          <w:rFonts w:ascii="宋体" w:hAnsi="宋体" w:hint="eastAsia"/>
          <w:sz w:val="24"/>
        </w:rPr>
        <w:t>利用</w:t>
      </w:r>
      <w:r w:rsidR="006F2C32">
        <w:rPr>
          <w:rFonts w:ascii="宋体" w:hAnsi="宋体"/>
          <w:sz w:val="24"/>
        </w:rPr>
        <w:t>采样函数</w:t>
      </w:r>
      <w:r w:rsidR="000A5420">
        <w:rPr>
          <w:rFonts w:ascii="宋体" w:hAnsi="宋体"/>
          <w:sz w:val="24"/>
        </w:rPr>
        <w:t>y</w:t>
      </w:r>
      <w:r w:rsidR="006F2C32">
        <w:rPr>
          <w:rFonts w:ascii="宋体" w:hAnsi="宋体"/>
          <w:sz w:val="24"/>
        </w:rPr>
        <w:t>=sin(8</w:t>
      </w:r>
      <m:oMath>
        <m:r>
          <m:rPr>
            <m:sty m:val="p"/>
          </m:rPr>
          <w:rPr>
            <w:rFonts w:ascii="Cambria Math" w:hAnsi="Cambria Math"/>
            <w:sz w:val="24"/>
          </w:rPr>
          <m:t>π</m:t>
        </m:r>
      </m:oMath>
      <w:r w:rsidR="006F2C32">
        <w:rPr>
          <w:rFonts w:ascii="宋体" w:hAnsi="宋体"/>
          <w:sz w:val="24"/>
        </w:rPr>
        <w:t>k/N)</w:t>
      </w:r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对其进行采样，得到的采样数据如下：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w:r w:rsidR="000A5420">
        <w:rPr>
          <w:rFonts w:ascii="宋体" w:hAnsi="宋体" w:hint="eastAsia"/>
          <w:sz w:val="24"/>
        </w:rPr>
        <w:t>Ψ</w:t>
      </w:r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该时域信号进行</w:t>
      </w:r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0A5420" w:rsidRPr="000A5420" w:rsidRDefault="00AD5787" w:rsidP="00AD5787">
      <w:pPr>
        <w:spacing w:line="360" w:lineRule="auto"/>
        <w:jc w:val="center"/>
        <w:rPr>
          <w:rFonts w:ascii="宋体" w:hAnsi="宋体"/>
          <w:sz w:val="24"/>
        </w:rPr>
      </w:pPr>
      <w:bookmarkStart w:id="9" w:name="_GoBack"/>
      <w:r>
        <w:rPr>
          <w:noProof/>
        </w:rPr>
        <w:drawing>
          <wp:inline distT="0" distB="0" distL="0" distR="0" wp14:anchorId="5F0294F5" wp14:editId="0119585E">
            <wp:extent cx="195262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lastRenderedPageBreak/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557" w:rsidRDefault="00465557" w:rsidP="0052113B">
      <w:r>
        <w:separator/>
      </w:r>
    </w:p>
  </w:endnote>
  <w:endnote w:type="continuationSeparator" w:id="0">
    <w:p w:rsidR="00465557" w:rsidRDefault="00465557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557" w:rsidRDefault="00465557" w:rsidP="0052113B">
      <w:r>
        <w:separator/>
      </w:r>
    </w:p>
  </w:footnote>
  <w:footnote w:type="continuationSeparator" w:id="0">
    <w:p w:rsidR="00465557" w:rsidRDefault="00465557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5975"/>
    <w:rsid w:val="000A5420"/>
    <w:rsid w:val="000C550C"/>
    <w:rsid w:val="000C6CBD"/>
    <w:rsid w:val="000C71BC"/>
    <w:rsid w:val="000F77B8"/>
    <w:rsid w:val="00113898"/>
    <w:rsid w:val="00137BF7"/>
    <w:rsid w:val="00140223"/>
    <w:rsid w:val="00142CBF"/>
    <w:rsid w:val="0016725C"/>
    <w:rsid w:val="001A20E7"/>
    <w:rsid w:val="001C290B"/>
    <w:rsid w:val="00204AD4"/>
    <w:rsid w:val="00210DAC"/>
    <w:rsid w:val="00213544"/>
    <w:rsid w:val="00213598"/>
    <w:rsid w:val="0023513D"/>
    <w:rsid w:val="0027521F"/>
    <w:rsid w:val="0029790C"/>
    <w:rsid w:val="002C27D3"/>
    <w:rsid w:val="002D551F"/>
    <w:rsid w:val="00393251"/>
    <w:rsid w:val="00396EEC"/>
    <w:rsid w:val="003A0514"/>
    <w:rsid w:val="003E20D0"/>
    <w:rsid w:val="003F0E8E"/>
    <w:rsid w:val="004066AF"/>
    <w:rsid w:val="00436E23"/>
    <w:rsid w:val="00441D5A"/>
    <w:rsid w:val="0045786B"/>
    <w:rsid w:val="00465557"/>
    <w:rsid w:val="00467E2C"/>
    <w:rsid w:val="0047211E"/>
    <w:rsid w:val="004816FB"/>
    <w:rsid w:val="004A58EF"/>
    <w:rsid w:val="004C22CE"/>
    <w:rsid w:val="005024FA"/>
    <w:rsid w:val="005149AC"/>
    <w:rsid w:val="0052113B"/>
    <w:rsid w:val="00541C2D"/>
    <w:rsid w:val="00547C8A"/>
    <w:rsid w:val="00554C29"/>
    <w:rsid w:val="0055562A"/>
    <w:rsid w:val="005864E2"/>
    <w:rsid w:val="005C12C6"/>
    <w:rsid w:val="005C16A0"/>
    <w:rsid w:val="00606394"/>
    <w:rsid w:val="006225F8"/>
    <w:rsid w:val="00635876"/>
    <w:rsid w:val="00636597"/>
    <w:rsid w:val="00660A9B"/>
    <w:rsid w:val="00662F1F"/>
    <w:rsid w:val="00690101"/>
    <w:rsid w:val="00693F3A"/>
    <w:rsid w:val="00697909"/>
    <w:rsid w:val="006F2C32"/>
    <w:rsid w:val="006F3F97"/>
    <w:rsid w:val="00711E96"/>
    <w:rsid w:val="007507C4"/>
    <w:rsid w:val="00755F45"/>
    <w:rsid w:val="00777A5B"/>
    <w:rsid w:val="00792E8D"/>
    <w:rsid w:val="007A5F17"/>
    <w:rsid w:val="007C43E9"/>
    <w:rsid w:val="007D48F9"/>
    <w:rsid w:val="007F1331"/>
    <w:rsid w:val="008109F3"/>
    <w:rsid w:val="0085766F"/>
    <w:rsid w:val="008706F5"/>
    <w:rsid w:val="00870F49"/>
    <w:rsid w:val="008756DA"/>
    <w:rsid w:val="00886A83"/>
    <w:rsid w:val="0089101F"/>
    <w:rsid w:val="00892C02"/>
    <w:rsid w:val="00895E4F"/>
    <w:rsid w:val="008C6CA6"/>
    <w:rsid w:val="008D454A"/>
    <w:rsid w:val="008F104B"/>
    <w:rsid w:val="009564F4"/>
    <w:rsid w:val="0098140B"/>
    <w:rsid w:val="0098157E"/>
    <w:rsid w:val="00991E60"/>
    <w:rsid w:val="00996B13"/>
    <w:rsid w:val="009A6CD2"/>
    <w:rsid w:val="009B592A"/>
    <w:rsid w:val="009E36A8"/>
    <w:rsid w:val="009E4EF7"/>
    <w:rsid w:val="009F1192"/>
    <w:rsid w:val="00A049DC"/>
    <w:rsid w:val="00A13743"/>
    <w:rsid w:val="00A26BAC"/>
    <w:rsid w:val="00A37321"/>
    <w:rsid w:val="00A47C3F"/>
    <w:rsid w:val="00A5739F"/>
    <w:rsid w:val="00A64882"/>
    <w:rsid w:val="00A64F94"/>
    <w:rsid w:val="00AD5787"/>
    <w:rsid w:val="00AE3C7F"/>
    <w:rsid w:val="00B13692"/>
    <w:rsid w:val="00B21FC6"/>
    <w:rsid w:val="00B77194"/>
    <w:rsid w:val="00B93489"/>
    <w:rsid w:val="00BB096E"/>
    <w:rsid w:val="00BB1E45"/>
    <w:rsid w:val="00BB7CC1"/>
    <w:rsid w:val="00BE0A40"/>
    <w:rsid w:val="00C05F67"/>
    <w:rsid w:val="00C10EB4"/>
    <w:rsid w:val="00C152AE"/>
    <w:rsid w:val="00C43236"/>
    <w:rsid w:val="00C9050B"/>
    <w:rsid w:val="00CE2168"/>
    <w:rsid w:val="00CF3838"/>
    <w:rsid w:val="00CF5653"/>
    <w:rsid w:val="00D05AEF"/>
    <w:rsid w:val="00D17121"/>
    <w:rsid w:val="00D320DF"/>
    <w:rsid w:val="00D43F06"/>
    <w:rsid w:val="00D571E7"/>
    <w:rsid w:val="00D64D50"/>
    <w:rsid w:val="00D75877"/>
    <w:rsid w:val="00D96E75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D5EDD"/>
    <w:rsid w:val="00F1709D"/>
    <w:rsid w:val="00F3258A"/>
    <w:rsid w:val="00F4081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F005B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69D5-49C0-4CE0-A027-2FF9B3F6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9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76</cp:revision>
  <cp:lastPrinted>2016-04-04T05:24:00Z</cp:lastPrinted>
  <dcterms:created xsi:type="dcterms:W3CDTF">2016-04-04T01:30:00Z</dcterms:created>
  <dcterms:modified xsi:type="dcterms:W3CDTF">2016-04-17T03:55:00Z</dcterms:modified>
</cp:coreProperties>
</file>