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Portada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Indice: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Concepto y objetivo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DISEÑO DE JUEGO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Estética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Normas de la partida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Niveles de dificultad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Proyectiles, trampas y enemigos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Moveset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ASPECTOS TÉCNICOS Y DESARROLLO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Plataformas y distribución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Desarrollo y recursos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Clientes: relación, comunicación y objetivos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Modelo de negocio y monetización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