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UVC one disinfection service</w:t>
      </w:r>
    </w:p>
    <w:p>
      <w:pPr>
        <w:pStyle w:val="Heading1"/>
      </w:pPr>
      <w:r>
        <w:t>Certified disinfection as a service</w:t>
      </w:r>
    </w:p>
    <w:p>
      <w:r>
        <w:t>UVC.one turns UV-C disinfection from an equipment event into a documented service. For each room and cycle, the service connects an approved procedure, authorized devices and operators, observed UV-C output, safety state, and a reviewable result. Independent devices record what they actually observed, so a facility can trace a completed cycle back to its source evidence instead of relying on a handwritten log or a lamp’s “on” signal.</w:t>
      </w:r>
    </w:p>
    <w:p>
      <w:r>
        <w:rPr>
          <w:b/>
        </w:rPr>
        <w:t xml:space="preserve">The certificate is the service outcome: </w:t>
      </w:r>
      <w:r>
        <w:t>a signed, attributable record that a defined disinfection procedure was performed and assessed against its approved criteria. A cycle that is interrupted, lacks evidence, or falls outside those criteria remains visibly incomplete or failed. Biological effectiveness and regulatory compliance require their own validation, measurements, and responsible approval; a device record alone does not establish either.</w:t>
      </w:r>
    </w:p>
    <w:p>
      <w:pPr>
        <w:pStyle w:val="Heading1"/>
      </w:pPr>
      <w:r>
        <w:t>Detailed metering as a side effect</w:t>
      </w:r>
    </w:p>
    <w:p>
      <w:r>
        <w:t>The same evidence collected to certify the service also provides fine-grained metering. Each cycle can be accounted for by room, device, time, duration, measured irradiance or dose where sensors support it, interruptions, and outcome. Facilities gain a practical basis for utilization reports, maintenance decisions, service-level reporting, and usage-based billing without asking staff to create a second record.</w:t>
      </w:r>
    </w:p>
    <w:p>
      <w:pPr>
        <w:pStyle w:val="Heading1"/>
      </w:pPr>
      <w:r>
        <w:t>How it works</w:t>
      </w:r>
    </w:p>
    <w:p>
      <w:pPr>
        <w:pStyle w:val="Step"/>
      </w:pPr>
      <w:r>
        <w:t xml:space="preserve">1. </w:t>
      </w:r>
      <w:r>
        <w:rPr>
          <w:b/>
        </w:rPr>
        <w:t xml:space="preserve">Define the service: </w:t>
      </w:r>
      <w:r>
        <w:t>Link a room and device configuration to an approved UV-C procedure and its acceptance criteria.</w:t>
      </w:r>
    </w:p>
    <w:p>
      <w:pPr>
        <w:pStyle w:val="Step"/>
      </w:pPr>
      <w:r>
        <w:t xml:space="preserve">2. </w:t>
      </w:r>
      <w:r>
        <w:rPr>
          <w:b/>
        </w:rPr>
        <w:t xml:space="preserve">Observe the run: </w:t>
      </w:r>
      <w:r>
        <w:t>The light source and independent sensors capture timestamped observations; a facility-owned witness keeps the record under the facility’s control.</w:t>
      </w:r>
    </w:p>
    <w:p>
      <w:pPr>
        <w:pStyle w:val="Step"/>
      </w:pPr>
      <w:r>
        <w:t xml:space="preserve">3. </w:t>
      </w:r>
      <w:r>
        <w:rPr>
          <w:b/>
        </w:rPr>
        <w:t xml:space="preserve">Assess and attest: </w:t>
      </w:r>
      <w:r>
        <w:t>Authorized reviewers assess the evidence. Signed attestations preserve device identity, provenance, exceptions, and the resulting decision.</w:t>
      </w:r>
    </w:p>
    <w:p>
      <w:pPr>
        <w:pStyle w:val="Step"/>
      </w:pPr>
      <w:r>
        <w:t xml:space="preserve">4. </w:t>
      </w:r>
      <w:r>
        <w:rPr>
          <w:b/>
        </w:rPr>
        <w:t xml:space="preserve">Use the data: </w:t>
      </w:r>
      <w:r>
        <w:t>Share a verifiable service record with the people who need assurance, and derive metering and operational reports from the same underlying observations.</w:t>
      </w:r>
    </w:p>
    <w:p>
      <w:pPr>
        <w:spacing w:before="160" w:after="0"/>
      </w:pPr>
      <w:r>
        <w:rPr>
          <w:b/>
        </w:rPr>
        <w:t>UVC.one makes every UV-C service accountable: evidence for the disinfection claim, and precise usage data generated in the process.</w:t>
      </w:r>
    </w:p>
    <w:sectPr w:rsidR="00FC693F" w:rsidRPr="0006063C" w:rsidSect="00034616">
      <w:pgSz w:w="11906" w:h="16838"/>
      <w:pgMar w:top="1049" w:right="1247" w:bottom="99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8" w:lineRule="auto"/>
    </w:pPr>
    <w:rPr>
      <w:rFonts w:ascii="Arial" w:hAnsi="Arial"/>
      <w:color w:val="1920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">
    <w:name w:val="Step"/>
    <w:basedOn w:val="Normal"/>
    <w:pPr>
      <w:keepLines/>
      <w:spacing w:after="80"/>
      <w:ind w:left="312" w:hanging="31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UVC one disinfection service</dc:title>
  <dc:subject>Certified UV-C disinfection service and detailed metering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