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Supplementary Materials</w:t>
      </w:r>
    </w:p>
    <w:p>
      <w:pPr>
        <w:jc w:val="center"/>
      </w:pPr>
      <w:r>
        <w:rPr>
          <w:i/>
          <w:sz w:val="22"/>
        </w:rPr>
        <w:t>ERD Lateralisation Selectivity as a Cross-Population Predictor of MI-BCI Neuroplasticity</w:t>
      </w:r>
    </w:p>
    <w:p/>
    <w:p>
      <w:r>
        <w:rPr>
          <w:rFonts w:ascii="Times New Roman" w:hAnsi="Times New Roman"/>
          <w:b/>
          <w:sz w:val="26"/>
        </w:rPr>
        <w:t>Supplementary Table S1. Invalidated candidate predictors</w:t>
      </w:r>
    </w:p>
    <w:p>
      <w:r>
        <w:rPr>
          <w:rFonts w:ascii="Times New Roman" w:hAnsi="Times New Roman"/>
          <w:i/>
          <w:sz w:val="20"/>
        </w:rPr>
        <w:t>Trial-level ERD coefficient of variation (signal stability) and ERD onset latency standard deviation (temporal precision) showed no significant association with ΔLI in any dataset, and were not pursued further. All |ρ| &lt; 0.27, all p &gt; 0.06.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Candidate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ρ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ERD CV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-0.050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0.608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Onset SD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0.059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0.546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ERD CV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-0.119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0.221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Onset SD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-0.022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0.820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ERD CV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0.031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0.828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Onset SD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0.803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ERD CV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0.261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0.062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Onset SD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-0.101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0.475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ERD CV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-0.004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0.980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Onset SD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0.086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0.574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ERD CV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0.107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0.483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Onset SD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0.133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0.384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ERD CV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0.062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0.671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Onset SD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0.153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0.290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ERD CV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-0.075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0.603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Onset SD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0.040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0.784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</w:tr>
    </w:tbl>
    <w:p/>
    <w:p>
      <w:r>
        <w:rPr>
          <w:i/>
          <w:sz w:val="18"/>
        </w:rPr>
        <w:t>Note: Lee 2019 trial-level constraints were not computed in the current pipeline run and are omitted from this table; the two candidates were already invalidated across the four datasets shown.</w:t>
      </w:r>
    </w:p>
    <w:p>
      <w:r>
        <w:br w:type="page"/>
      </w:r>
    </w:p>
    <w:p>
      <w:r>
        <w:rPr>
          <w:rFonts w:ascii="Times New Roman" w:hAnsi="Times New Roman"/>
          <w:b/>
          <w:sz w:val="26"/>
        </w:rPr>
        <w:t>Supplementary Table S2. Sensitivity analysis: high-artefact subject exclusion (Liu 2024)</w:t>
      </w:r>
    </w:p>
    <w:p>
      <w:r>
        <w:rPr>
          <w:rFonts w:ascii="Times New Roman" w:hAnsi="Times New Roman"/>
          <w:i/>
          <w:sz w:val="20"/>
        </w:rPr>
        <w:t>The primary selectivity–ΔLI association is preserved after excluding 13 high-artefact stroke subjects (n=37). The NIHSS–selectivity clinical anchor weakens but remains significant for T1 (ρ = −0.327, p = 0.048). Artefact-excluded subjects had comparable NIHSS (clean 4.14 vs excluded 4.23) and higher positive-ΔLI rate (76.9% vs 67.6%), indicating no systematic bias.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Sample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Task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Selectivity–ΔLI ρ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NIHSS–selectivity ρ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Full (n=50)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0.810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-0.436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0.0016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Full (n=50)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0.956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0.066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0.6494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Clean (n=37)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0.769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-0.327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0.0483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37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Clean (n=37)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0.948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0.147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0.3845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37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6"/>
        </w:rPr>
        <w:t>Supplementary Table S3. Subject-label permutation test (circularity control)</w:t>
      </w:r>
    </w:p>
    <w:p>
      <w:r>
        <w:rPr>
          <w:rFonts w:ascii="Times New Roman" w:hAnsi="Times New Roman"/>
          <w:i/>
          <w:sz w:val="20"/>
        </w:rPr>
        <w:t>Each subject's ERD selectivity was paired with a randomly reassigned subject's ΔLI (5,000 permutations per dataset), preserving each metric's distribution while destroying the within-subject correspondence. Real (matched) correlations exceed the mismatched-pairing null at the 100th percentile in 9/10 tests (99.9th in the tenth), confirming the selectivity–ΔLI coupling is genuine within-subject covariation, not an artifact of shared C3/C4 inputs.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Dataset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Task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Real ρ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Null mean |ρ|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Perm p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Percentile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0.838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0.078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100.0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0.851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0.078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100.0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0.849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0.113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100.0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0.765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0.112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100.0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0.119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100.0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0.798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0.123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100.0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Lee 2019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0.112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100.0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Lee 2019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0.782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0.109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100.0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0.810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0.116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100.0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0.956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0.115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100.0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6"/>
        </w:rPr>
        <w:t>Supplementary Table S4. Full selectivity and bilateral-slope correlations with ΔLI</w:t>
      </w:r>
    </w:p>
    <w:p>
      <w:r>
        <w:rPr>
          <w:rFonts w:ascii="Times New Roman" w:hAnsi="Times New Roman"/>
          <w:i/>
          <w:sz w:val="20"/>
        </w:rPr>
        <w:t>ERD lateralisation selectivity correlates strongly with ΔLI in all 10 dataset × task combinations (all p &lt; 10⁻¹⁰), while bilateral ERD slope is uniformly null (all |ρ| &lt; 0.20, all p &gt; 0.18). This dissociation is the core evidence that selectivity, not total activation, drives reorganisation. All p-values survive Bonferroni correction at 100 tests.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Dataset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Task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Selectivity ρ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Selectivity p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Bilateral ρ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b/>
                <w:sz w:val="18"/>
              </w:rPr>
              <w:t>Bilateral p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0.838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1.2e-29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-0.037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108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0.851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2.1e-31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-0.128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0.19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0.849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1.9e-15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0.152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0.28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0.765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4.2e-11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-0.059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0.68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0.867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1.5e-14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0.200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0.19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0.798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5.0e-11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0.005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0.97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Lee 2019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0.902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3.3e-20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0.096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0.50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Lee 2019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0.782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4.7e-12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-0.050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0.72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0.810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1.1e-12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0.122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0.40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0.956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3.2e-27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0.158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8"/>
              </w:rPr>
              <w:t>0.27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6"/>
        </w:rPr>
        <w:t>Supplementary Table S5. Responder phenotype rates by dataset</w:t>
      </w:r>
    </w:p>
    <w:p>
      <w:r>
        <w:rPr>
          <w:rFonts w:ascii="Times New Roman" w:hAnsi="Times New Roman"/>
          <w:i/>
          <w:sz w:val="20"/>
        </w:rPr>
        <w:t>Positive-ΔLI ("responder") rates for μ-band, β-band, both bands combined, and non-responders (negative ΔLI in both bands). The combined healthy rate (62.8% pooled) exceeds the stroke rate (48.0%), driven primarily by β-band disruption in stroke.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μ-responder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β-responder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Combined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Non-responder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108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77.8%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78.7%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63.9%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7.4%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88.5%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82.7%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75.0%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3.8%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80.0%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71.1%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53.3%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2.2%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Lee 2019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73.6%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73.6%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56.6%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9.4%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70.0%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70.0%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48.0%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8.0%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6"/>
        </w:rPr>
        <w:t>Supplementary Table S6. Effect sizes (Cohen's d): responder vs non-responder ΔLI</w:t>
      </w:r>
    </w:p>
    <w:p>
      <w:r>
        <w:rPr>
          <w:rFonts w:ascii="Times New Roman" w:hAnsi="Times New Roman"/>
          <w:i/>
          <w:sz w:val="20"/>
        </w:rPr>
        <w:t>Standardised mean difference in ΔLI between responders and non-responders. Effect sizes range from d = 0.47 to 1.90 (median ≈ 1.18). The sole sub-threshold value (Cho 2017 T1, d = 0.47) reflects extreme class imbalance (6 non-responders).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n responders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n non-resp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Cohen's 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1.10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84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0.89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0.47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0.280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46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1.03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0.022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0.84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0.030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1.90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Lee 2019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1.67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Lee 2019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1.25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8"/>
              </w:rPr>
              <w:t>&lt;0.001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6"/>
        </w:rPr>
        <w:t>Supplementary Table S7. Cross-band specificity control</w:t>
      </w:r>
    </w:p>
    <w:p>
      <w:r>
        <w:rPr>
          <w:rFonts w:ascii="Times New Roman" w:hAnsi="Times New Roman"/>
          <w:i/>
          <w:sz w:val="20"/>
        </w:rPr>
        <w:t>μ-band selectivity does not predict β-band ΔLI in 9/10 tests (all |ρ| ≤ 0.20; the single borderline value, Cho 2017 T2, ρ = 0.20, p = 0.15, is non-significant). This frequency-specificity confirms the selectivity–ΔLI coupling reflects genuine band-specific plasticity rather than a generic mathematical artifact of the laterality computation.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Dataset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Task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μ-sel → β-ΔLI 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108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0.097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0.320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108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0.040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0.679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-0.002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0.988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0.200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0.154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0.165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0.278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-0.067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0.663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Lee 2019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-0.042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0.768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Lee 2019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0.144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0.305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0.072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0.619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0.181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sz w:val="18"/>
              </w:rPr>
              <w:t>0.208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6"/>
        </w:rPr>
        <w:t>Supplementary Table S8. Within-session trajectory non-monotonicity</w:t>
      </w:r>
    </w:p>
    <w:p>
      <w:r>
        <w:rPr>
          <w:rFonts w:ascii="Times New Roman" w:hAnsi="Times New Roman"/>
          <w:i/>
          <w:sz w:val="20"/>
        </w:rPr>
        <w:t>Percentage of subjects whose ΔLI trajectory reversed direction between consecutive training stages (early→mid vs mid→late). Stroke (Liu 2024 T1: 88.0%) shows the highest instability, consistent with impaired E-LTP→L-LTP consolidation in the peri-infarct environment.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Non-monotonic (%)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63.9%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63.9%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67.3%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61.5%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48.9%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55.6%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Lee 2019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54.7%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Lee 2019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73.6%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88.0%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72.0%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6"/>
        </w:rPr>
        <w:t>Supplementary Table S9. Within-dataset machine-learning performance</w:t>
      </w:r>
    </w:p>
    <w:p>
      <w:r>
        <w:rPr>
          <w:rFonts w:ascii="Times New Roman" w:hAnsi="Times New Roman"/>
          <w:i/>
          <w:sz w:val="20"/>
        </w:rPr>
        <w:t>Best-performing classifier per dataset (5-fold stratified cross-validation, AUC). Heterogeneity reflects sample size and class balance: Cho 2017 is near chance (AUC = 0.61) due to only 6 non-responders. GB = gradient boosting; LR = logistic regression. Within-dataset precision/recall are not reported as 5-fold folds are too small for stable estimates.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Dataset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Best model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18"/>
              </w:rPr>
              <w:t>AUC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PhysioNet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0.878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Cho 2017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GB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0.613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BCI-IV-2b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45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0.750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Lee 2019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0.974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Liu 2024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LR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18"/>
              </w:rPr>
              <w:t>0.829</w:t>
            </w:r>
          </w:p>
        </w:tc>
      </w:tr>
    </w:tbl>
    <w:p/>
    <w:p>
      <w:r>
        <w:rPr>
          <w:rFonts w:ascii="Times New Roman" w:hAnsi="Times New Roman"/>
          <w:b/>
          <w:sz w:val="26"/>
        </w:rPr>
        <w:t>Supplementary Table S9b. Cross-population model feature importance</w:t>
      </w:r>
    </w:p>
    <w:p>
      <w:r>
        <w:rPr>
          <w:rFonts w:ascii="Times New Roman" w:hAnsi="Times New Roman"/>
          <w:i/>
          <w:sz w:val="20"/>
        </w:rPr>
        <w:t>Gradient-boosting feature importances (healthy-trained, stroke-tested cross-population model). ERD selectivity (T1 + T2) accounts for 69.7% of total importance, confirming it as the dominant predictor; static baseline laterality (LI_early) contributes minimally.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18"/>
              </w:rPr>
              <w:t>Importance (%)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ERD selectivity (T2)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36.4%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ERD selectivity (T1)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33.3%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Baseline μ-LI (T2)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5.2%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Baseline μ-LI (T1)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4.8%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Bilateral ERD slope (T1)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4.6%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Baseline β-LI (T1)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4.2%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Baseline β-LI (T2)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4.1%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Contra ERD slope (T1)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3.6%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Bilateral ERD slope (T2)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Contra ERD slope (T2)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1.1%</w:t>
            </w:r>
          </w:p>
        </w:tc>
      </w:tr>
    </w:tbl>
    <w:p>
      <w:r>
        <w:br w:type="page"/>
      </w:r>
    </w:p>
    <w:p>
      <w:r>
        <w:rPr>
          <w:rFonts w:ascii="Times New Roman" w:hAnsi="Times New Roman"/>
          <w:b/>
          <w:sz w:val="26"/>
        </w:rPr>
        <w:t>Supplementary Table S10. Preprocessing and harmonisation parameters</w:t>
      </w:r>
    </w:p>
    <w:p>
      <w:r>
        <w:rPr>
          <w:rFonts w:ascii="Times New Roman" w:hAnsi="Times New Roman"/>
          <w:i/>
          <w:sz w:val="20"/>
        </w:rPr>
        <w:t>Unified pipeline applied to all five datasets via MOABB v1.5 to ensure cross-dataset comparability despite differing native sampling rates and channel counts.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18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Loader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MOABB v1.5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Resampling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160 Hz (all datasets)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Channels analysed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C3, Cz, C4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Epoch window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0.0–3.0 s post-stimulus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Baseline window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0.0–0.5 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MI window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0.5–3.0 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μ band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8–13 Hz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β band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13–30 Hz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Filter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2nd-order Butterworth, zero-phase IIR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ERD metric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10 · log₁₀(P_MI / P_baseline), Welch PSD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Artefact rejection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Epochs &gt; 250 µV excluded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Training stages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Equal early/mid/late terciles of clean epochs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Laterality index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(|ERD_contra| − |ERD_ipsi|) / (|ERD_contra| + |ERD_ipsi|)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Selectivity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Contralateral ERD slope − bilateral ERD slope across stages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Multiple comparisons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18"/>
              </w:rPr>
              <w:t>Benjamini–Hochberg (within-dataset) + Bonferroni (global, core finding)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