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color w:val="666666"/>
          <w:sz w:val="20"/>
          <w:szCs w:val="20"/>
        </w:rPr>
        <w:t xml:space="preserve">PROYECTO</w:t>
      </w:r>
    </w:p>
    <w:p>
      <w:pPr>
        <w:spacing w:after="200"/>
        <w:jc w:val="center"/>
      </w:pPr>
      <w:r>
        <w:rPr>
          <w:b/>
          <w:bCs/>
          <w:sz w:val="44"/>
          <w:szCs w:val="44"/>
        </w:rPr>
        <w:t xml:space="preserve">Plataforma de gestión cooperativa</w:t>
      </w:r>
    </w:p>
    <w:p>
      <w:pPr>
        <w:spacing w:after="600"/>
        <w:jc w:val="center"/>
      </w:pPr>
      <w:r>
        <w:rPr>
          <w:color w:val="444444"/>
          <w:sz w:val="28"/>
          <w:szCs w:val="28"/>
        </w:rPr>
        <w:t xml:space="preserve">MVP sobre Odoo Community</w:t>
      </w:r>
    </w:p>
    <w:p>
      <w:pPr>
        <w:spacing w:after="2400"/>
        <w:jc w:val="center"/>
      </w:pPr>
      <w:r>
        <w:rPr>
          <w:i/>
          <w:iCs/>
          <w:color w:val="666666"/>
          <w:sz w:val="22"/>
          <w:szCs w:val="22"/>
        </w:rPr>
        <w:t xml:space="preserve">Documento de visión y alcance para presentar al Consejo de Administración de la Federación</w:t>
      </w:r>
    </w:p>
    <w:p>
      <w:pPr>
        <w:jc w:val="center"/>
      </w:pPr>
      <w:r>
        <w:rPr>
          <w:color w:val="888888"/>
          <w:sz w:val="20"/>
          <w:szCs w:val="20"/>
        </w:rPr>
        <w:t xml:space="preserve">Versión 1.0 — Borrador para discusión</w:t>
      </w:r>
    </w:p>
    <w:p>
      <w:r>
        <w:br w:type="page"/>
      </w:r>
    </w:p>
    <w:p>
      <w:pPr>
        <w:pStyle w:val="Heading1"/>
      </w:pPr>
      <w:r>
        <w:t xml:space="preserve">1. Resumen ejecutivo</w:t>
      </w:r>
    </w:p>
    <w:p>
      <w:pPr>
        <w:spacing w:after="120" w:line="300"/>
        <w:jc w:val="both"/>
      </w:pPr>
      <w:r>
        <w:t xml:space="preserve">Este documento propone el desarrollo de una plataforma de gestión integral orientada a cooperativas de trabajo, construida sobre Odoo Community y la localización argentina mantenida por la comunidad. El proyecto nace del interés manifestado por 52 cooperativas, con 7 casos iniciales en la provincia de Neuquén pertenecientes a distintos rubros, y cuenta con el acompañamiento del síndico de la federación.</w:t>
      </w:r>
    </w:p>
    <w:p>
      <w:pPr>
        <w:spacing w:after="120" w:line="300"/>
        <w:jc w:val="both"/>
      </w:pPr>
      <w:r>
        <w:t xml:space="preserve">A diferencia del software de gestión empresarial tradicional, la plataforma se diseña desde los valores y principios cooperativos reconocidos por la Alianza Cooperativa Internacional, traduciendo cada uno de ellos en reglas de producto concretas. Esto significa transparencia total hacia los socios, flujos de decisión democráticos, gestión de aportes y retornos según estatuto, y una arquitectura preparada para la cooperación entre cooperativas.</w:t>
      </w:r>
    </w:p>
    <w:p>
      <w:pPr>
        <w:spacing w:after="120" w:line="300"/>
        <w:jc w:val="both"/>
      </w:pPr>
      <w:r>
        <w:t xml:space="preserve">El MVP se concentra en resolver el dolor operativo más crítico identificado por el síndico: el desorden en el flujo de caja que genera caos con las instituciones bancarias, retrasos en certificaciones y conflictos en la liquidación de socios. Sobre esa base, el producto se irá extendiendo hacia módulos verticales específicos, empezando por construcción.</w:t>
      </w:r>
    </w:p>
    <w:p>
      <w:pPr>
        <w:spacing w:after="120" w:line="300"/>
        <w:jc w:val="both"/>
      </w:pPr>
      <w:r>
        <w:t xml:space="preserve">El desarrollo lo asume un equipo inicial de dos personas con asistencia de inteligencia artificial, con una proyección de MVP funcional en un horizonte de 4 a 6 meses, validado en 3 a 5 cooperativas piloto antes de abrir al resto de la federación.</w:t>
      </w:r>
    </w:p>
    <w:p>
      <w:pPr>
        <w:pStyle w:val="Heading1"/>
      </w:pPr>
      <w:r>
        <w:t xml:space="preserve">2. Marco conceptual: principios cooperativos como especificación de producto</w:t>
      </w:r>
    </w:p>
    <w:p>
      <w:pPr>
        <w:spacing w:after="120" w:line="300"/>
        <w:jc w:val="both"/>
      </w:pPr>
      <w:r>
        <w:t xml:space="preserve">La decisión de diseño central de este proyecto es que los principios cooperativos no son una declaración filosófica, sino especificaciones de producto. Cada principio define qué debe hacer la plataforma y qué no debe hacer. Esto la diferencia estructuralmente de cualquier ERP empresarial adaptado.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pPr>
              <w:spacing w:line="280"/>
            </w:pPr>
            <w:r>
              <w:rPr>
                <w:b/>
                <w:bCs/>
                <w:sz w:val="22"/>
                <w:szCs w:val="22"/>
              </w:rPr>
              <w:t xml:space="preserve">Principio cooperativo</w:t>
            </w:r>
          </w:p>
        </w:tc>
        <w:tc>
          <w:tcPr>
            <w:tcW w:type="dxa" w:w="624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pPr>
              <w:spacing w:line="280"/>
            </w:pPr>
            <w:r>
              <w:rPr>
                <w:b/>
                <w:bCs/>
                <w:sz w:val="22"/>
                <w:szCs w:val="22"/>
              </w:rPr>
              <w:t xml:space="preserve">Traducción al producto</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Adhesión voluntaria y abierta</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Flujo formal de alta y baja de socios con estados configurables y documentación asociada a cada transición.</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Control democrático de los miembros</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Módulo de asambleas y votaciones de primera clase: convocatoria, quórum, votación, acta automática, seguimiento de acuerdos.</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Participación económica de los miembros</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Gestión de aportes, capital social, distribución de excedentes y retornos según fórmula configurable del estatuto.</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Autonomía e independencia</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Exportación libre de datos, posibilidad de auto-hospedaje, código abierto en el núcleo, sin vendor lock-in.</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Educación, formación e información</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Conocimiento compartido embebido en tareas, biblioteca legal cooperativa, registro de formación de socios.</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Cooperación entre cooperativas</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Arquitectura federada que permite catálogo cruzado, compras conjuntas e intercambio de servicios entre cooperativas.</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Compromiso con la comunidad</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Reportes de impacto social y económico territorial, listos para compartir con el Estado y el entorno.</w:t>
            </w:r>
          </w:p>
        </w:tc>
      </w:tr>
    </w:tbl>
    <w:p>
      <w:pPr>
        <w:spacing w:before="200"/>
      </w:pPr>
      <w:r>
        <w:t xml:space="preserve"/>
      </w:r>
    </w:p>
    <w:p>
      <w:pPr>
        <w:spacing w:after="120" w:line="300"/>
        <w:jc w:val="both"/>
      </w:pPr>
      <w:r>
        <w:t xml:space="preserve">Este marco actúa como brújula para cualquier decisión de producto futura. Ante una nueva funcionalidad propuesta, el criterio es: ¿qué principio fortalece y cuál debilita? Si debilita alguno, no se incorpora.</w:t>
      </w:r>
    </w:p>
    <w:p>
      <w:r>
        <w:br w:type="page"/>
      </w:r>
    </w:p>
    <w:p>
      <w:pPr>
        <w:pStyle w:val="Heading1"/>
      </w:pPr>
      <w:r>
        <w:t xml:space="preserve">3. Dolores identificados y priorización</w:t>
      </w:r>
    </w:p>
    <w:p>
      <w:pPr>
        <w:spacing w:after="120" w:line="300"/>
        <w:jc w:val="both"/>
      </w:pPr>
      <w:r>
        <w:t xml:space="preserve">A partir de la conversación con el síndico de la federación y del análisis del contexto operativo de las cooperativas interesadas, se identificaron los siguientes dolores centrales ordenados por criticidad:</w:t>
      </w:r>
    </w:p>
    <w:p>
      <w:pPr>
        <w:pStyle w:val="Heading2"/>
      </w:pPr>
      <w:r>
        <w:t xml:space="preserve">3.1. Desorden del flujo de caja (crítico)</w:t>
      </w:r>
    </w:p>
    <w:p>
      <w:pPr>
        <w:spacing w:after="120" w:line="300"/>
        <w:jc w:val="both"/>
      </w:pPr>
      <w:r>
        <w:t xml:space="preserve">El problema principal que identifica el síndico no es la falta de información, sino que la información está dispersa entre Excel, cuadernos, memoria individual y sistemas contables externos. Esto genera desbalances de facturación, pagos no ordenados y caos con las instituciones bancarias. Las cooperativas pierden acceso a crédito y sufren rebotes operativos por este desorden.</w:t>
      </w:r>
    </w:p>
    <w:p>
      <w:pPr>
        <w:pStyle w:val="Heading2"/>
      </w:pPr>
      <w:r>
        <w:t xml:space="preserve">3.2. Liquidación a socios sin trazabilidad (crítico)</w:t>
      </w:r>
    </w:p>
    <w:p>
      <w:pPr>
        <w:spacing w:after="120" w:line="300"/>
        <w:jc w:val="both"/>
      </w:pPr>
      <w:r>
        <w:t xml:space="preserve">El pago a los socios por su trabajo depende de cálculos manuales que cada cooperativa hace distinto, sin que el socio pueda verificar su liquidación antes del pago. Esto es fuente permanente de desconfianza interna y erosiona el principio de transparencia que es constitutivo de la forma cooperativa.</w:t>
      </w:r>
    </w:p>
    <w:p>
      <w:pPr>
        <w:pStyle w:val="Heading2"/>
      </w:pPr>
      <w:r>
        <w:t xml:space="preserve">3.3. Certificaciones de obra atrasadas (alto)</w:t>
      </w:r>
    </w:p>
    <w:p>
      <w:pPr>
        <w:spacing w:after="120" w:line="300"/>
        <w:jc w:val="both"/>
      </w:pPr>
      <w:r>
        <w:t xml:space="preserve">Específico de las cooperativas de construcción: los tiempos administrativos para emitir, firmar y cobrar certificaciones estiran el ciclo de cobro y comprometen la caja. Las certificaciones se imprimen, se firman a mano, se escanean, se envían por mail, vuelven con observaciones, se reimprimen. Semanas de ciclo que la firma digital puede reducir a horas.</w:t>
      </w:r>
    </w:p>
    <w:p>
      <w:pPr>
        <w:pStyle w:val="Heading2"/>
      </w:pPr>
      <w:r>
        <w:t xml:space="preserve">3.4. Cobros y pagos diferidos sin proyección (alto)</w:t>
      </w:r>
    </w:p>
    <w:p>
      <w:pPr>
        <w:spacing w:after="120" w:line="300"/>
        <w:jc w:val="both"/>
      </w:pPr>
      <w:r>
        <w:t xml:space="preserve">Las cooperativas operan con cheques diferidos, facturas a 30, 60 y 90 días, y adelantos a proveedores sin una vista unificada de cuándo entra y cuándo sale el dinero. Esto imposibilita la planificación financiera mínima.</w:t>
      </w:r>
    </w:p>
    <w:p>
      <w:pPr>
        <w:pStyle w:val="Heading2"/>
      </w:pPr>
      <w:r>
        <w:t xml:space="preserve">3.5. Gestión de balances y obligaciones formales (medio-alto)</w:t>
      </w:r>
    </w:p>
    <w:p>
      <w:pPr>
        <w:spacing w:after="120" w:line="300"/>
        <w:jc w:val="both"/>
      </w:pPr>
      <w:r>
        <w:t xml:space="preserve">Las cooperativas tienen obligaciones específicas ante INAES y el IPCyMER provincial: libros de actas, registro de asociados, balance social cooperativo, estados contables con particularidades del sector. Hoy se arman a mano o con plantillas de estudios contables privados. Un sistema que los genere automáticamente es diferencial fuerte para contadores y cooperativas.</w:t>
      </w:r>
    </w:p>
    <w:p>
      <w:pPr>
        <w:pStyle w:val="Heading2"/>
      </w:pPr>
      <w:r>
        <w:t xml:space="preserve">3.6. Diversidad de rubros dentro de la federación (transversal)</w:t>
      </w:r>
    </w:p>
    <w:p>
      <w:pPr>
        <w:spacing w:after="120" w:line="300"/>
        <w:jc w:val="both"/>
      </w:pPr>
      <w:r>
        <w:t xml:space="preserve">Las 52 cooperativas no son homogéneas. Solo en Neuquén hay 7 rubros distintos. Cualquier solución que no contemple arquitectura modular para soportar esa diversidad queda obsoleta al segundo cliente.</w:t>
      </w:r>
    </w:p>
    <w:p>
      <w:r>
        <w:br w:type="page"/>
      </w:r>
    </w:p>
    <w:p>
      <w:pPr>
        <w:pStyle w:val="Heading1"/>
      </w:pPr>
      <w:r>
        <w:t xml:space="preserve">4. Alcance del MVP</w:t>
      </w:r>
    </w:p>
    <w:p>
      <w:pPr>
        <w:spacing w:after="120" w:line="300"/>
        <w:jc w:val="both"/>
      </w:pPr>
      <w:r>
        <w:t xml:space="preserve">El MVP se define con un criterio estricto: resolver el dolor operativo más crítico con calidad suficiente para que una cooperativa lo adopte como sistema único de gestión, dejando el resto para fases posteriores. Incluir más en el MVP es garantía de no lanzar.</w:t>
      </w:r>
    </w:p>
    <w:p>
      <w:pPr>
        <w:pStyle w:val="Heading2"/>
      </w:pPr>
      <w:r>
        <w:t xml:space="preserve">4.1. Módulos incluidos en el MVP</w:t>
      </w:r>
    </w:p>
    <w:p>
      <w:pPr>
        <w:spacing w:after="120" w:line="300"/>
        <w:jc w:val="both"/>
      </w:pPr>
      <w:r>
        <w:rPr>
          <w:b/>
          <w:bCs/>
        </w:rPr>
        <w:t xml:space="preserve">Contabilidad y facturación con ARCA. </w:t>
      </w:r>
      <w:r>
        <w:t xml:space="preserve">Provisto por la localización argentina de la comunidad Odoo (Adhoc). Incluye facturación electrónica, plan de cuentas argentino, libro IVA, percepciones y retenciones. No requiere desarrollo propio, solo configuración.</w:t>
      </w:r>
    </w:p>
    <w:p>
      <w:pPr>
        <w:spacing w:after="120" w:line="300"/>
        <w:jc w:val="both"/>
      </w:pPr>
      <w:r>
        <w:rPr>
          <w:b/>
          <w:bCs/>
        </w:rPr>
        <w:t xml:space="preserve">Flujo de caja y tesorería. </w:t>
      </w:r>
      <w:r>
        <w:t xml:space="preserve">Carga de facturas emitidas y recibidas con fecha de vencimiento, registro de cobros y pagos efectivos, proyección de caja a 30, 60 y 90 días. Visualización clara y mobile-first para el tesorero o el consejo.</w:t>
      </w:r>
    </w:p>
    <w:p>
      <w:pPr>
        <w:spacing w:after="120" w:line="300"/>
        <w:jc w:val="both"/>
      </w:pPr>
      <w:r>
        <w:rPr>
          <w:b/>
          <w:bCs/>
        </w:rPr>
        <w:t xml:space="preserve">Gestión de socios cooperativos. </w:t>
      </w:r>
      <w:r>
        <w:t xml:space="preserve">Módulo propio. Alta, baja, estados del socio, aportes realizados, capital social, horas trabajadas y liquidación. Desarrollo nuevo, no existe en Odoo estándar.</w:t>
      </w:r>
    </w:p>
    <w:p>
      <w:pPr>
        <w:spacing w:after="120" w:line="300"/>
        <w:jc w:val="both"/>
      </w:pPr>
      <w:r>
        <w:rPr>
          <w:b/>
          <w:bCs/>
        </w:rPr>
        <w:t xml:space="preserve">Liquidación transparente a socios. </w:t>
      </w:r>
      <w:r>
        <w:t xml:space="preserve">Cada socio accede desde su teléfono a sus horas registradas, adelantos pedidos, liquidación calculada y pago efectivo. Posibilidad de marcar observaciones antes del pago. Construye confianza desde la primera semana de uso.</w:t>
      </w:r>
    </w:p>
    <w:p>
      <w:pPr>
        <w:spacing w:after="120" w:line="300"/>
        <w:jc w:val="both"/>
      </w:pPr>
      <w:r>
        <w:rPr>
          <w:b/>
          <w:bCs/>
        </w:rPr>
        <w:t xml:space="preserve">Libros y balances cooperativos. </w:t>
      </w:r>
      <w:r>
        <w:t xml:space="preserve">Generación automática del libro de actas, registro de asociados, balance social cooperativo y estados contables con las particularidades del sector. Desarrollo nuevo sobre el motor contable de Odoo.</w:t>
      </w:r>
    </w:p>
    <w:p>
      <w:pPr>
        <w:spacing w:after="120" w:line="300"/>
        <w:jc w:val="both"/>
      </w:pPr>
      <w:r>
        <w:rPr>
          <w:b/>
          <w:bCs/>
        </w:rPr>
        <w:t xml:space="preserve">Asambleas y decisiones colectivas. </w:t>
      </w:r>
      <w:r>
        <w:t xml:space="preserve">Convocatoria con orden del día, registro de quórum, votación nominal o secreta, generación automática del acta y seguimiento de los acuerdos tomados. Desarrollo nuevo.</w:t>
      </w:r>
    </w:p>
    <w:p>
      <w:pPr>
        <w:pStyle w:val="Heading2"/>
      </w:pPr>
      <w:r>
        <w:t xml:space="preserve">4.2. Módulos explícitamente fuera del MVP</w:t>
      </w:r>
    </w:p>
    <w:p>
      <w:pPr>
        <w:spacing w:after="120" w:line="300"/>
        <w:jc w:val="both"/>
      </w:pPr>
      <w:r>
        <w:t xml:space="preserve">Los siguientes módulos se reconocen como importantes pero se posponen a fases posteriores para proteger el lanzamiento del MVP:</w:t>
      </w:r>
    </w:p>
    <w:p>
      <w:pPr>
        <w:pStyle w:val="ListParagraph"/>
        <w:numPr>
          <w:ilvl w:val="0"/>
          <w:numId w:val="2"/>
        </w:numPr>
        <w:spacing w:after="100" w:line="300"/>
      </w:pPr>
      <w:r>
        <w:t xml:space="preserve">Gantt y ruta crítica de obra, que se incorpora en el módulo específico de construcción en la fase 2.</w:t>
      </w:r>
    </w:p>
    <w:p>
      <w:pPr>
        <w:pStyle w:val="ListParagraph"/>
        <w:numPr>
          <w:ilvl w:val="0"/>
          <w:numId w:val="2"/>
        </w:numPr>
        <w:spacing w:after="100" w:line="300"/>
      </w:pPr>
      <w:r>
        <w:t xml:space="preserve">Gestión de materiales, herramientas con responsable asignado y pedidos a corralón, también parte del módulo construcción.</w:t>
      </w:r>
    </w:p>
    <w:p>
      <w:pPr>
        <w:pStyle w:val="ListParagraph"/>
        <w:numPr>
          <w:ilvl w:val="0"/>
          <w:numId w:val="2"/>
        </w:numPr>
        <w:spacing w:after="100" w:line="300"/>
      </w:pPr>
      <w:r>
        <w:t xml:space="preserve">Firma digital de certificaciones, que requiere integración con un proveedor de firma digital avalado por ONTI y se evalúa según costos.</w:t>
      </w:r>
    </w:p>
    <w:p>
      <w:pPr>
        <w:pStyle w:val="ListParagraph"/>
        <w:numPr>
          <w:ilvl w:val="0"/>
          <w:numId w:val="2"/>
        </w:numPr>
        <w:spacing w:after="100" w:line="300"/>
      </w:pPr>
      <w:r>
        <w:t xml:space="preserve">Federación entre cooperativas y catálogo cruzado, que se habilita cuando al menos 10 cooperativas estén activas en la plataforma.</w:t>
      </w:r>
    </w:p>
    <w:p>
      <w:pPr>
        <w:pStyle w:val="ListParagraph"/>
        <w:numPr>
          <w:ilvl w:val="0"/>
          <w:numId w:val="2"/>
        </w:numPr>
        <w:spacing w:after="100" w:line="300"/>
      </w:pPr>
      <w:r>
        <w:t xml:space="preserve">Módulos verticales para rubros distintos a construcción, que se diseñan con cada cooperativa piloto del rubro correspondiente.</w:t>
      </w:r>
    </w:p>
    <w:p>
      <w:r>
        <w:br w:type="page"/>
      </w:r>
    </w:p>
    <w:p>
      <w:pPr>
        <w:pStyle w:val="Heading1"/>
      </w:pPr>
      <w:r>
        <w:t xml:space="preserve">5. Decisiones de arquitectura</w:t>
      </w:r>
    </w:p>
    <w:p>
      <w:pPr>
        <w:pStyle w:val="Heading2"/>
      </w:pPr>
      <w:r>
        <w:t xml:space="preserve">5.1. Base tecnológica: Odoo Community</w:t>
      </w:r>
    </w:p>
    <w:p>
      <w:pPr>
        <w:spacing w:after="120" w:line="300"/>
        <w:jc w:val="both"/>
      </w:pPr>
      <w:r>
        <w:t xml:space="preserve">Se adopta Odoo Community como base. Esta decisión se sustenta en cuatro razones. Primero, Odoo ya es utilizado por empresas y organismos en varias provincias argentinas, lo que facilita encontrar contadores y técnicos familiarizados con el sistema. Segundo, la localización argentina mantenida por la comunidad (Adhoc) resuelve la integración con ARCA, el plan de cuentas argentino y los reportes fiscales, ahorrando meses de desarrollo. Tercero, ser código abierto es coherente con el principio cooperativo de autonomía y evita el vendor lock-in. Cuarto, la arquitectura modular de Odoo es perfecta para soportar los distintos rubros cooperativos como módulos verticales sobre un núcleo común.</w:t>
      </w:r>
    </w:p>
    <w:p>
      <w:pPr>
        <w:spacing w:after="120" w:line="300"/>
        <w:jc w:val="both"/>
      </w:pPr>
      <w:r>
        <w:t xml:space="preserve">Odoo Enterprise queda descartado para esta etapa por el costo de licenciamiento por usuario, que sería incompatible con la realidad económica de las cooperativas de la federación.</w:t>
      </w:r>
    </w:p>
    <w:p>
      <w:pPr>
        <w:pStyle w:val="Heading2"/>
      </w:pPr>
      <w:r>
        <w:t xml:space="preserve">5.2. Enfoque mobile-first para los socios</w:t>
      </w:r>
    </w:p>
    <w:p>
      <w:pPr>
        <w:spacing w:after="120" w:line="300"/>
        <w:jc w:val="both"/>
      </w:pPr>
      <w:r>
        <w:t xml:space="preserve">La pantalla principal de cualquier socio cooperativista será una interfaz móvil con referencia visual y de interacción similar a WhatsApp, que es la única aplicación que todos los potenciales usuarios conocen. Escritorio y tablets quedan reservados para contadores, síndicos y roles administrativos. Esta decisión responde a la observación del síndico de que las condiciones tecnológicas hoy existen porque todo operario tiene celular, condición que en intentos anteriores no se cumplía.</w:t>
      </w:r>
    </w:p>
    <w:p>
      <w:pPr>
        <w:pStyle w:val="Heading2"/>
      </w:pPr>
      <w:r>
        <w:t xml:space="preserve">5.3. Arquitectura federada preparada desde el día uno</w:t>
      </w:r>
    </w:p>
    <w:p>
      <w:pPr>
        <w:spacing w:after="120" w:line="300"/>
        <w:jc w:val="both"/>
      </w:pPr>
      <w:r>
        <w:t xml:space="preserve">Aunque la federación entre cooperativas no es parte del MVP, la arquitectura de datos se diseña desde el inicio contemplando que múltiples instancias puedan intercambiar información. Esto implica no asumir que todo vive en una única base de datos y definir desde temprano los identificadores y protocolos que permitirán la cooperación entre cooperativas en fases futuras.</w:t>
      </w:r>
    </w:p>
    <w:p>
      <w:pPr>
        <w:pStyle w:val="Heading2"/>
      </w:pPr>
      <w:r>
        <w:t xml:space="preserve">5.4. Gobernanza del producto</w:t>
      </w:r>
    </w:p>
    <w:p>
      <w:pPr>
        <w:spacing w:after="120" w:line="300"/>
        <w:jc w:val="both"/>
      </w:pPr>
      <w:r>
        <w:t xml:space="preserve">Las decisiones estratégicas del producto pasan por el consejo de administración de la federación con fiscalización del síndico. Esto incluye prioridades anuales de desarrollo, cambios de modelo de negocio, decisiones sobre licenciamiento y política de datos. Las decisiones operativas (stack técnico, detalles de implementación, experiencia de usuario) las toma el equipo de desarrollo. Esta separación protege tanto la legitimidad institucional del producto como la capacidad de ejecución ágil del equipo.</w:t>
      </w:r>
    </w:p>
    <w:p>
      <w:r>
        <w:br w:type="page"/>
      </w:r>
    </w:p>
    <w:p>
      <w:pPr>
        <w:pStyle w:val="Heading1"/>
      </w:pPr>
      <w:r>
        <w:t xml:space="preserve">6. Estrategia de adopción</w:t>
      </w:r>
    </w:p>
    <w:p>
      <w:pPr>
        <w:pStyle w:val="Heading2"/>
      </w:pPr>
      <w:r>
        <w:t xml:space="preserve">6.1. Estudios contables como canal, no como competencia</w:t>
      </w:r>
    </w:p>
    <w:p>
      <w:pPr>
        <w:spacing w:after="120" w:line="300"/>
        <w:jc w:val="both"/>
      </w:pPr>
      <w:r>
        <w:t xml:space="preserve">En Neuquén capital existen estudios contables que concentran la atención de varias cooperativas de la federación. Estos estudios son el canal de adopción real del producto: si el contador ve que el sistema le ahorra tiempo con cada cliente, empuja a sus cooperativas a usarlo. Si le complica la vida, lo boicotea aunque las cooperativas lo pidan.</w:t>
      </w:r>
    </w:p>
    <w:p>
      <w:pPr>
        <w:spacing w:after="120" w:line="300"/>
        <w:jc w:val="both"/>
      </w:pPr>
      <w:r>
        <w:t xml:space="preserve">La estrategia propuesta es identificar a los dos o tres estudios que concentran más cooperativas de la federación e incorporarlos al proceso de diseño del módulo contable desde el inicio, con acceso gratuito permanente al sistema a cambio de su aporte técnico. Esto transforma un obstáculo potencial en una red de aliados.</w:t>
      </w:r>
    </w:p>
    <w:p>
      <w:pPr>
        <w:pStyle w:val="Heading2"/>
      </w:pPr>
      <w:r>
        <w:t xml:space="preserve">6.2. Cooperativas piloto</w:t>
      </w:r>
    </w:p>
    <w:p>
      <w:pPr>
        <w:spacing w:after="120" w:line="300"/>
        <w:jc w:val="both"/>
      </w:pPr>
      <w:r>
        <w:t xml:space="preserve">El MVP se valida con 3 a 5 cooperativas piloto antes de abrir al resto de las 52. Los criterios para seleccionar las piloto son: diversidad de rubros para estresar el modelo desde el inicio, tamaño mediano que les permita incorporar una herramienta nueva sin poner en riesgo la operación, consejo de administración comprometido con el proyecto, y disposición a dedicar tiempo a reportar problemas y sugerir mejoras. No se buscan las cooperativas más grandes ni las más chicas, sino las más dispuestas a co-diseñar.</w:t>
      </w:r>
    </w:p>
    <w:p>
      <w:pPr>
        <w:pStyle w:val="Heading2"/>
      </w:pPr>
      <w:r>
        <w:t xml:space="preserve">6.3. Apertura a la federación</w:t>
      </w:r>
    </w:p>
    <w:p>
      <w:pPr>
        <w:spacing w:after="120" w:line="300"/>
        <w:jc w:val="both"/>
      </w:pPr>
      <w:r>
        <w:t xml:space="preserve">Una vez validado el MVP con las piloto, la apertura al resto de la federación se hace por rubro y no por orden de llegada. Primero construcción porque es el rubro de arranque y hay módulo vertical listo. Luego los rubros para los que se vaya desarrollando el módulo correspondiente. Esto evita la tentación de aceptar cooperativas que después no tienen las funcionalidades que necesitan.</w:t>
      </w:r>
    </w:p>
    <w:p>
      <w:r>
        <w:br w:type="page"/>
      </w:r>
    </w:p>
    <w:p>
      <w:pPr>
        <w:pStyle w:val="Heading1"/>
      </w:pPr>
      <w:r>
        <w:t xml:space="preserve">7. Equipo, recursos y plan de desarrollo</w:t>
      </w:r>
    </w:p>
    <w:p>
      <w:pPr>
        <w:pStyle w:val="Heading2"/>
      </w:pPr>
      <w:r>
        <w:t xml:space="preserve">7.1. Equipo inicial</w:t>
      </w:r>
    </w:p>
    <w:p>
      <w:pPr>
        <w:spacing w:after="120" w:line="300"/>
        <w:jc w:val="both"/>
      </w:pPr>
      <w:r>
        <w:t xml:space="preserve">El desarrollo lo inicia un equipo de dos personas con asistencia de herramientas de inteligencia artificial para generación y revisión de código. Esta configuración es suficiente para construir el MVP pero no para operarlo a escala. Por eso el plan contempla explícitamente un punto de transición: cuando el producto esté estable y validado en las piloto, se incorpora personal adicional o se busca financiamiento para escalar la operación.</w:t>
      </w:r>
    </w:p>
    <w:p>
      <w:pPr>
        <w:spacing w:after="120" w:line="300"/>
        <w:jc w:val="both"/>
      </w:pPr>
      <w:r>
        <w:t xml:space="preserve">Intentar atender a las 52 cooperativas con dos personas garantiza el colapso del proyecto. El plan acepta esta restricción como condición de éxito.</w:t>
      </w:r>
    </w:p>
    <w:p>
      <w:pPr>
        <w:pStyle w:val="Heading2"/>
      </w:pPr>
      <w:r>
        <w:t xml:space="preserve">7.2. Cronograma orientativo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pPr>
              <w:spacing w:line="280"/>
            </w:pPr>
            <w:r>
              <w:rPr>
                <w:b/>
                <w:bCs/>
                <w:sz w:val="22"/>
                <w:szCs w:val="22"/>
              </w:rPr>
              <w:t xml:space="preserve">Fase</w:t>
            </w:r>
          </w:p>
        </w:tc>
        <w:tc>
          <w:tcPr>
            <w:tcW w:type="dxa" w:w="18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pPr>
              <w:spacing w:line="280"/>
            </w:pPr>
            <w:r>
              <w:rPr>
                <w:b/>
                <w:bCs/>
                <w:sz w:val="22"/>
                <w:szCs w:val="22"/>
              </w:rPr>
              <w:t xml:space="preserve">Duración</w:t>
            </w:r>
          </w:p>
        </w:tc>
        <w:tc>
          <w:tcPr>
            <w:tcW w:type="dxa" w:w="516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pPr>
              <w:spacing w:line="280"/>
            </w:pPr>
            <w:r>
              <w:rPr>
                <w:b/>
                <w:bCs/>
                <w:sz w:val="22"/>
                <w:szCs w:val="22"/>
              </w:rPr>
              <w:t xml:space="preserve">Entregables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Fase 0: Setup y decisiones técnicas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1 mes</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Odoo Community instalado con localización argentina, repositorio configurado, entorno de desarrollo.</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Fase 1: Núcleo cooperativo</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2 meses</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Gestión de socios, aportes, liquidación transparente, asambleas y votaciones.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Fase 2: Caja y obligaciones formales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2 meses</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Flujo de caja, libros cooperativos automáticos, integración con estudios aliados.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Fase 3: Validación en piloto</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1 mes</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Implementación y seguimiento en 3-5 cooperativas, ajustes y estabilización.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Fase 4: Apertura y módulo construcción</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A partir del mes 7</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Se abre a la federación. Comienza desarrollo del módulo de obra con Gantt, materiales y certificaciones.</w:t>
            </w:r>
          </w:p>
        </w:tc>
      </w:tr>
    </w:tbl>
    <w:p>
      <w:pPr>
        <w:spacing w:before="200"/>
      </w:pPr>
      <w:r>
        <w:t xml:space="preserve"/>
      </w:r>
    </w:p>
    <w:p>
      <w:pPr>
        <w:pStyle w:val="Heading2"/>
      </w:pPr>
      <w:r>
        <w:t xml:space="preserve">7.3. Modelo de sostenibilidad económica</w:t>
      </w:r>
    </w:p>
    <w:p>
      <w:pPr>
        <w:spacing w:after="120" w:line="300"/>
        <w:jc w:val="both"/>
      </w:pPr>
      <w:r>
        <w:t xml:space="preserve">El modelo de negocio se define en conjunto con el consejo de administración de la federación, pero se presentan tres opciones para discusión: primero, software de código abierto con servicios pagos (el modelo Odoo: el software es libre y se cobra implementación, capacitación y soporte); segundo, plataforma cooperativa propiamente dicha, donde la titularidad del software queda en una cooperativa de segundo grado integrada por las cooperativas usuarias; tercero, modelo mixto con financiamiento institucional inicial (INAES, IPCyMER, programas de desarrollo cooperativo) y autofinanciamiento por servicios a partir del año dos.</w:t>
      </w:r>
    </w:p>
    <w:p>
      <w:pPr>
        <w:spacing w:after="120" w:line="300"/>
        <w:jc w:val="both"/>
      </w:pPr>
      <w:r>
        <w:t xml:space="preserve">La decisión sobre este punto es estratégica y debe resolverse antes del lanzamiento del MVP, no después, porque define la estructura legal del proyecto.</w:t>
      </w:r>
    </w:p>
    <w:p>
      <w:r>
        <w:br w:type="page"/>
      </w:r>
    </w:p>
    <w:p>
      <w:pPr>
        <w:pStyle w:val="Heading1"/>
      </w:pPr>
      <w:r>
        <w:t xml:space="preserve">8.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pPr>
              <w:spacing w:line="280"/>
            </w:pPr>
            <w:r>
              <w:rPr>
                <w:b/>
                <w:bCs/>
                <w:sz w:val="22"/>
                <w:szCs w:val="22"/>
              </w:rPr>
              <w:t xml:space="preserve">Riesgo</w:t>
            </w:r>
          </w:p>
        </w:tc>
        <w:tc>
          <w:tcPr>
            <w:tcW w:type="dxa" w:w="576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pPr>
              <w:spacing w:line="280"/>
            </w:pPr>
            <w:r>
              <w:rPr>
                <w:b/>
                <w:bCs/>
                <w:sz w:val="22"/>
                <w:szCs w:val="22"/>
              </w:rPr>
              <w:t xml:space="preserve">Mitigación</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El equipo de dos personas se satura atendiendo soporte de las piloto y no puede seguir desarrollando.</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Cerrar acceso a nuevas cooperativas hasta que haya MVP estable. No aceptar piloto sin compromiso explícito de tolerancia a bugs.</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Los contadores locales no adoptan el sistema o lo rechazan.</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Incorporarlos desde el diseño, no desde el lanzamiento. Ofrecer acceso gratuito permanente a cambio de aporte técnico.</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El consejo de administración y el equipo técnico entran en conflicto sobre prioridades.</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Documento de gobernanza que separa decisiones estratégicas (consejo) de operativas (equipo). Revisión trimestral.</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La diversidad de rubros obliga a customizaciones que fragmentan el producto.</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Arquitectura modular estricta. El núcleo nunca se toca para adaptarse a un rubro; siempre se crea módulo vertical.</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Intentos previos de software cooperativo fallaron; se percibe escepticismo.</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Comunicar desde el primer día que el timing tecnológico cambió (celulares). Mostrar avances concretos cada dos semanas.</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La implementación contable en Odoo Community requiere más horas que Enterprise.</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line="280"/>
            </w:pPr>
            <w:r>
              <w:rPr>
                <w:b w:val="false"/>
                <w:bCs w:val="false"/>
                <w:sz w:val="22"/>
                <w:szCs w:val="22"/>
              </w:rPr>
              <w:t xml:space="preserve">Contemplar en el cronograma tiempo específico para configuración contable con contador aliado.</w:t>
            </w:r>
          </w:p>
        </w:tc>
      </w:tr>
    </w:tbl>
    <w:p>
      <w:r>
        <w:br w:type="page"/>
      </w:r>
    </w:p>
    <w:p>
      <w:pPr>
        <w:pStyle w:val="Heading1"/>
      </w:pPr>
      <w:r>
        <w:t xml:space="preserve">9. Próximos pasos inmediatos</w:t>
      </w:r>
    </w:p>
    <w:p>
      <w:pPr>
        <w:spacing w:after="120" w:line="300"/>
        <w:jc w:val="both"/>
      </w:pPr>
      <w:r>
        <w:t xml:space="preserve">Con este documento como base, los pasos concretos de las próximas semanas son los siguientes:</w:t>
      </w:r>
    </w:p>
    <w:p>
      <w:pPr>
        <w:pStyle w:val="ListParagraph"/>
        <w:numPr>
          <w:ilvl w:val="0"/>
          <w:numId w:val="2"/>
        </w:numPr>
        <w:spacing w:after="100" w:line="300"/>
      </w:pPr>
      <w:r>
        <w:t xml:space="preserve">Presentación de este documento al consejo de administración de la federación para validación formal del enfoque general, con el síndico como fiscalizador del proceso.</w:t>
      </w:r>
    </w:p>
    <w:p>
      <w:pPr>
        <w:pStyle w:val="ListParagraph"/>
        <w:numPr>
          <w:ilvl w:val="0"/>
          <w:numId w:val="2"/>
        </w:numPr>
        <w:spacing w:after="100" w:line="300"/>
      </w:pPr>
      <w:r>
        <w:t xml:space="preserve">Identificación de los dos o tres estudios contables que concentran cooperativas de la federación en Neuquén capital, y primera reunión para invitarlos al proceso de co-diseño.</w:t>
      </w:r>
    </w:p>
    <w:p>
      <w:pPr>
        <w:pStyle w:val="ListParagraph"/>
        <w:numPr>
          <w:ilvl w:val="0"/>
          <w:numId w:val="2"/>
        </w:numPr>
        <w:spacing w:after="100" w:line="300"/>
      </w:pPr>
      <w:r>
        <w:t xml:space="preserve">Selección preliminar de las 3 a 5 cooperativas piloto, con criterios de diversidad de rubros y disposición a co-diseñar.</w:t>
      </w:r>
    </w:p>
    <w:p>
      <w:pPr>
        <w:pStyle w:val="ListParagraph"/>
        <w:numPr>
          <w:ilvl w:val="0"/>
          <w:numId w:val="2"/>
        </w:numPr>
        <w:spacing w:after="100" w:line="300"/>
      </w:pPr>
      <w:r>
        <w:t xml:space="preserve">Instalación del entorno técnico base: Odoo Community con localización argentina de Adhoc, repositorio de código propio para los módulos cooperativos nuevos.</w:t>
      </w:r>
    </w:p>
    <w:p>
      <w:pPr>
        <w:pStyle w:val="ListParagraph"/>
        <w:numPr>
          <w:ilvl w:val="0"/>
          <w:numId w:val="2"/>
        </w:numPr>
        <w:spacing w:after="100" w:line="300"/>
      </w:pPr>
      <w:r>
        <w:t xml:space="preserve">Decisión sobre el modelo de sostenibilidad económica del producto, a resolver en el consejo de administración con propuesta fundamentada del equipo de desarrollo.</w:t>
      </w:r>
    </w:p>
    <w:p>
      <w:pPr>
        <w:pStyle w:val="ListParagraph"/>
        <w:numPr>
          <w:ilvl w:val="0"/>
          <w:numId w:val="2"/>
        </w:numPr>
        <w:spacing w:after="100" w:line="300"/>
      </w:pPr>
      <w:r>
        <w:t xml:space="preserve">Exploración de líneas de financiamiento disponibles en INAES, IPCyMER y programas provinciales, como alternativa o complemento al autofinanciamiento.</w:t>
      </w:r>
    </w:p>
    <w:p>
      <w:pPr>
        <w:spacing w:before="400"/>
      </w:pPr>
      <w:r>
        <w:t xml:space="preserve"/>
      </w:r>
    </w:p>
    <w:p>
      <w:pPr>
        <w:spacing w:after="120" w:line="300"/>
        <w:jc w:val="both"/>
      </w:pPr>
      <w:r>
        <w:t xml:space="preserve">Este documento es un borrador para discusión y se espera que sea modificado, enriquecido y validado por los actores involucrados. Su versión final no será la escrita por el equipo técnico sino la acordada colectivamente por la federación, el síndico, los estudios contables aliados y las cooperativas piloto. Eso es, en sí mismo, una aplicación del principio cooperativo de control democrático.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Plataforma cooperativa</dc:title>
  <dc:creator>Equipo de desarrollo</dc:creator>
  <cp:lastModifiedBy>Un-named</cp:lastModifiedBy>
  <cp:revision>1</cp:revision>
  <dcterms:created xsi:type="dcterms:W3CDTF">2026-04-18T22:00:43.456Z</dcterms:created>
  <dcterms:modified xsi:type="dcterms:W3CDTF">2026-04-18T22:00:43.457Z</dcterms:modified>
</cp:coreProperties>
</file>

<file path=docProps/custom.xml><?xml version="1.0" encoding="utf-8"?>
<Properties xmlns="http://schemas.openxmlformats.org/officeDocument/2006/custom-properties" xmlns:vt="http://schemas.openxmlformats.org/officeDocument/2006/docPropsVTypes"/>
</file>