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Logo"/>
        <w:jc w:val="center"/>
      </w:pPr>
      <w:r>
        <w:drawing>
          <wp:inline distT="0" distB="0" distL="0" distR="0">
            <wp:extent cx="2340000" cy="517064"/>
            <wp:docPr id="10" name="Obraz 10" descr="logo_wykonawc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ogo_wykonawcy.png"/>
                    <pic:cNvPicPr/>
                  </pic:nvPicPr>
                  <pic:blipFill>
                    <a:blip r:embed="rIdObraz10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ytulanalizy"/>
      </w:pPr>
      <w:r>
        <w:t xml:space="preserve">ANALIZA PRZEDWDROŻENIOWA</w:t>
      </w:r>
    </w:p>
    <w:p>
      <w:pPr>
        <w:pStyle w:val="Tytulanalizy"/>
      </w:pPr>
      <w:r>
        <w:t xml:space="preserve">DLA </w:t>
      </w:r>
      <w:r>
        <w:rPr>
          <w:rStyle w:val="PoledoUzupelnienia"/>
          <w:highlight w:val="yellow"/>
        </w:rPr>
        <w:t xml:space="preserve">[DO UZUPEŁNIENIA: nazwa klienta]</w:t>
      </w:r>
    </w:p>
    <w:p>
      <w:pPr>
        <w:pStyle w:val="Obszaranalizy"/>
      </w:pPr>
      <w:r>
        <w:t xml:space="preserve">Obszar: Kadry, Płace i Czas pracy</w:t>
      </w:r>
    </w:p>
    <w:p>
      <w:pPr>
        <w:jc w:val="center"/>
        <w:spacing w:before="240" w:after="240"/>
      </w:pPr>
      <w:r>
        <w:drawing>
          <wp:inline distT="0" distB="0" distL="0" distR="0">
            <wp:extent cx="2520000" cy="2515333"/>
            <wp:docPr id="11" name="Obraz 11" descr="grafika_tytulow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grafika_tytulowa.png"/>
                    <pic:cNvPicPr/>
                  </pic:nvPicPr>
                  <pic:blipFill>
                    <a:blip r:embed="rIdObraz10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7" w:type="dxa"/>
        <w:tblBorders>
          <w:insideH w:val="single" w:sz="4" w:space="0" w:color="FFFFFF"/>
        </w:tblBorders>
        <w:tblLayout w:type="fixed"/>
        <w:tblLook w:val="0000" w:firstRow="0" w:lastRow="0" w:firstColumn="0" w:lastColumn="0" w:noHBand="1" w:noVBand="1"/>
      </w:tblPr>
      <w:tblGrid>
        <w:gridCol w:w="2500"/>
        <w:gridCol w:w="7247"/>
      </w:tblGrid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Data utworzenia: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utworzenia, dd.mm.rrrr]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Wersja: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numer wersji X.Y]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Autor: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autorzy dokumentu]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Ostatnia modyfikacja: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ostatniej modyfikacji]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Status dokumentu: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Roboczy / Do akceptacji Klienta / Obustronnie zaakceptowany – FINAL]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Ważna do: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ważności analizy]</w:t>
            </w:r>
          </w:p>
        </w:tc>
      </w:tr>
    </w:tbl>
    <w:p>
      <w:pPr>
        <w:pStyle w:val="Klauzula"/>
      </w:pPr>
      <w:r>
        <w:t xml:space="preserve">Dokument został opracowany przez Alt One wyłącznie dla </w:t>
      </w:r>
      <w:r>
        <w:rPr>
          <w:rStyle w:val="PoledoUzupelnienia"/>
          <w:highlight w:val="yellow"/>
        </w:rPr>
        <w:t xml:space="preserve">[DO UZUPEŁNIENIA: nazwa klienta]</w:t>
      </w:r>
      <w:r>
        <w:t xml:space="preserve">. Nie może być reprodukowany, kopiowany lub publikowany w całości lub jakiejkolwiek jego części bez pisemnej zgody Alt One.</w:t>
      </w:r>
    </w:p>
    <w:p>
      <w:r>
        <w:br w:type="page"/>
      </w:r>
    </w:p>
    <w:p>
      <w:pPr>
        <w:pStyle w:val="Nagwekspisutreci"/>
      </w:pPr>
      <w:r>
        <w:t xml:space="preserve">Historia zmian dokumentu</w:t>
      </w:r>
    </w:p>
    <w:tbl>
      <w:tblPr>
        <w:tblStyle w:val="ProposalTable"/>
        <w:tblW w:w="9745" w:type="dxa"/>
        <w:tblLayout w:type="fixed"/>
        <w:tblLook w:val="0420" w:firstRow="1" w:lastRow="0" w:firstColumn="0" w:lastColumn="0" w:noHBand="1" w:noVBand="1"/>
      </w:tblPr>
      <w:tblGrid>
        <w:gridCol w:w="1169"/>
        <w:gridCol w:w="1559"/>
        <w:gridCol w:w="2339"/>
        <w:gridCol w:w="4678"/>
      </w:tblGrid>
      <w:tr>
        <w:trPr>
          <w:cantSplit/>
          <w:tblHeader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Wersja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t xml:space="preserve">Data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t xml:space="preserve">Autor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Opis zmian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0.1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data]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autor]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Utworzenie dokumentu na podstawie wzoru Wzor_Analiza_przedwdrozeniowa_KPCP.</w:t>
            </w:r>
          </w:p>
        </w:tc>
      </w:tr>
    </w:tbl>
    <w:p>
      <w:pPr>
        <w:pStyle w:val="Tekstabeli"/>
      </w:pPr>
    </w:p>
    <w:p>
      <w:pPr>
        <w:pStyle w:val="Nagwekspisutreci"/>
      </w:pPr>
      <w:r>
        <w:t xml:space="preserve">Spis treści</w:t>
      </w:r>
    </w:p>
    <w:p>
      <w:pPr>
        <w:pStyle w:val="Spistreci1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Spis treści – kliknij prawym przyciskiem myszy i wybierz „Aktualizuj pole”.</w:t>
      </w:r>
      <w:r>
        <w:fldChar w:fldCharType="end"/>
      </w:r>
    </w:p>
    <w:p>
      <w:pPr>
        <w:sectPr>
          <w:headerReference w:type="default" r:id="rIdNaglowek"/>
          <w:headerReference w:type="first" r:id="rIdNaglowekPierwszy"/>
          <w:footerReference w:type="default" r:id="rIdStopka"/>
          <w:footerReference w:type="first" r:id="rIdStopka"/>
          <w:pgSz w:w="11907" w:h="16839" w:code="9"/>
          <w:pgMar w:top="1080" w:right="1080" w:bottom="851" w:left="1080" w:header="680" w:footer="720" w:gutter="0"/>
          <w:cols w:space="720"/>
          <w:titlePg/>
          <w:docGrid w:linePitch="360"/>
        </w:sectPr>
      </w:pPr>
    </w:p>
    <w:p>
      <w:pPr>
        <w:pStyle w:val="Nagwek1"/>
      </w:pPr>
      <w:r>
        <w:t xml:space="preserve">Wprowadzenie</w:t>
      </w:r>
    </w:p>
    <w:p>
      <w:pPr>
        <w:pStyle w:val="Nagwek2"/>
      </w:pPr>
      <w:r>
        <w:t xml:space="preserve">Zakres projektu</w:t>
      </w:r>
    </w:p>
    <w:p>
      <w:pPr>
        <w:pStyle w:val="Listapunktowana"/>
      </w:pPr>
      <w:r>
        <w:t xml:space="preserve">Wdrożenie i eksploatacja systemu enova365 w zakresie modułu Kadry i Płace, ewidencji i rozliczania czasu pracy, a także pulpitów pracownika oraz kierownika wraz z dedykowanymi rozwiązaniami w </w:t>
      </w:r>
      <w:r>
        <w:rPr>
          <w:rStyle w:val="PoledoUzupelnienia"/>
          <w:highlight w:val="yellow"/>
        </w:rPr>
        <w:t xml:space="preserve">[DO UZUPEŁNIENIA: nazwa spółki lub lista spółek objętych wdrożeniem]</w:t>
      </w:r>
      <w:r>
        <w:t xml:space="preserve">.</w:t>
      </w:r>
    </w:p>
    <w:p>
      <w:pPr>
        <w:pStyle w:val="Nagwek2"/>
      </w:pPr>
      <w:r>
        <w:t xml:space="preserve">Cel dokumentu</w:t>
      </w:r>
    </w:p>
    <w:p>
      <w:pPr>
        <w:pStyle w:val="Listapunktowana"/>
      </w:pPr>
      <w:r>
        <w:t xml:space="preserve">Celem niniejszego dokumentu jest analiza potrzeb i zaproponowanie rozwiązań w zakresie zastosowania modułu Kadry i Płace systemu informatycznego enova365 w obszarze funkcjonowania </w:t>
      </w:r>
      <w:r>
        <w:rPr>
          <w:rStyle w:val="PoledoUzupelnienia"/>
          <w:highlight w:val="yellow"/>
        </w:rPr>
        <w:t xml:space="preserve">[DO UZUPEŁNIENIA: nazwa klienta lub grupy spółek]</w:t>
      </w:r>
      <w:r>
        <w:t xml:space="preserve">.</w:t>
      </w:r>
    </w:p>
    <w:p>
      <w:pPr>
        <w:pStyle w:val="Listapunktowana"/>
      </w:pPr>
      <w:r>
        <w:t xml:space="preserve">Analiza ma dać odpowiedź, w jaki sposób za pomocą systemu enova365 obsłużyć procesy kadrowo-płacowe, a także realizować funkcje raportowe z tegoż systemu, w tym także integracje z innymi systemami oraz procesy realizowane z wykorzystaniem e-wniosków i e-procesów.</w:t>
      </w:r>
    </w:p>
    <w:p>
      <w:pPr>
        <w:pStyle w:val="Listapunktowana"/>
      </w:pPr>
      <w:r>
        <w:t xml:space="preserve">Analiza ma służyć również jako materiał wyjściowy przy późniejszym wdrożeniu systemu.</w:t>
      </w:r>
    </w:p>
    <w:p>
      <w:pPr>
        <w:pStyle w:val="Nagwek2"/>
      </w:pPr>
      <w:r>
        <w:t xml:space="preserve">Zakres dokumentu</w:t>
      </w:r>
    </w:p>
    <w:p>
      <w:pPr>
        <w:pStyle w:val="Normalny"/>
      </w:pPr>
      <w:r>
        <w:t xml:space="preserve">Niniejszy dokument zawiera propozycje rozwiązań w zakresie systemu enova365 wspierającego procesy biznesowe zachodzące w obszarze kadr i płac </w:t>
      </w:r>
      <w:r>
        <w:rPr>
          <w:rStyle w:val="PoledoUzupelnienia"/>
          <w:highlight w:val="yellow"/>
        </w:rPr>
        <w:t xml:space="preserve">[DO UZUPEŁNIENIA: nazwa klienta]</w:t>
      </w:r>
      <w:r>
        <w:t xml:space="preserve">. Ujęto w nim elementy funkcjonalne, jakie zostały ustalone w toku prac analitycznych.</w:t>
      </w:r>
    </w:p>
    <w:p>
      <w:pPr>
        <w:pStyle w:val="Normalny"/>
      </w:pPr>
      <w:r>
        <w:t xml:space="preserve">Analiza dotyczy następujących zagadnień ogólnych:</w:t>
      </w:r>
    </w:p>
    <w:p>
      <w:pPr>
        <w:pStyle w:val="Listapunktowana"/>
      </w:pPr>
      <w:r>
        <w:t xml:space="preserve">Administracja kadrami;</w:t>
      </w:r>
    </w:p>
    <w:p>
      <w:pPr>
        <w:pStyle w:val="Listapunktowana"/>
      </w:pPr>
      <w:r>
        <w:t xml:space="preserve">Administracja płacami;</w:t>
      </w:r>
    </w:p>
    <w:p>
      <w:pPr>
        <w:pStyle w:val="Listapunktowana"/>
      </w:pPr>
      <w:r>
        <w:t xml:space="preserve">Planowanie czasu pracy, ewidencja czasu pracy oraz nieobecności;</w:t>
      </w:r>
    </w:p>
    <w:p>
      <w:pPr>
        <w:pStyle w:val="Listapunktowana"/>
      </w:pPr>
      <w:r>
        <w:t xml:space="preserve">Administracja świadczeniami: PPK, ZFŚS, </w:t>
      </w:r>
      <w:r>
        <w:rPr>
          <w:rStyle w:val="PoledoUzupelnienia"/>
          <w:highlight w:val="yellow"/>
        </w:rPr>
        <w:t xml:space="preserve">[DO UZUPEŁNIENIA: PKZP, benefity pracownicze – usuń, jeśli nie dotyczy]</w:t>
      </w:r>
      <w:r>
        <w:t xml:space="preserve">;</w:t>
      </w:r>
    </w:p>
    <w:p>
      <w:pPr>
        <w:pStyle w:val="Listapunktowana"/>
      </w:pPr>
      <w:r>
        <w:t xml:space="preserve">Pulpit pracownika oraz kierownika oraz dedykowane rozwiązania w tym zakresie, w tym raporty i wnioski;</w:t>
      </w:r>
    </w:p>
    <w:p>
      <w:pPr>
        <w:pStyle w:val="Listapunktowana"/>
      </w:pPr>
      <w:r>
        <w:t xml:space="preserve">Raportowanie HR;</w:t>
      </w:r>
    </w:p>
    <w:p>
      <w:pPr>
        <w:pStyle w:val="Listapunktowana"/>
      </w:pPr>
      <w:r>
        <w:t xml:space="preserve">Integracja z zewnętrznymi systemami – PUE ZUS, Bramka MF, instytucja finansowa PPK, bank, </w:t>
      </w:r>
      <w:r>
        <w:rPr>
          <w:rStyle w:val="PoledoUzupelnienia"/>
          <w:highlight w:val="yellow"/>
        </w:rPr>
        <w:t xml:space="preserve">[DO UZUPEŁNIENIA: inne systemy Klienta]</w:t>
      </w:r>
      <w:r>
        <w:t xml:space="preserve">;</w:t>
      </w:r>
    </w:p>
    <w:p>
      <w:pPr>
        <w:pStyle w:val="Listapunktowana"/>
      </w:pPr>
      <w:r>
        <w:t xml:space="preserve">Migracja danych.</w:t>
      </w:r>
    </w:p>
    <w:p>
      <w:pPr>
        <w:pStyle w:val="Normalny"/>
      </w:pPr>
      <w:r>
        <w:t xml:space="preserve">Dokument analizy został sporządzony na podstawie otrzymanych materiałów w formie elektronicznej oraz na podstawie spotkań analitycznych przeprowadzonych w dniach </w:t>
      </w:r>
      <w:r>
        <w:rPr>
          <w:rStyle w:val="PoledoUzupelnienia"/>
          <w:highlight w:val="yellow"/>
        </w:rPr>
        <w:t xml:space="preserve">[DO UZUPEŁNIENIA: daty spotkań analitycznych]</w:t>
      </w:r>
      <w:r>
        <w:t xml:space="preserve">. Szczegółowe założenia dla poszczególnych obszarów zostały opisane w załącznikach do niniejszego dokumentu (rozdział Wykaz załączników).</w:t>
      </w:r>
    </w:p>
    <w:p>
      <w:pPr>
        <w:pStyle w:val="Nagwek2"/>
      </w:pPr>
      <w:r>
        <w:t xml:space="preserve">Streszczenie dla zarządu i kierownictwa projektu</w:t>
      </w:r>
    </w:p>
    <w:p>
      <w:pPr>
        <w:pStyle w:val="Normalny"/>
      </w:pPr>
      <w:r>
        <w:t xml:space="preserve">Zagadnienia opisane w tej części dokumentu dotyczą kluczowych procesów, jakie realizowane są w zakresie kadr i płac w </w:t>
      </w:r>
      <w:r>
        <w:rPr>
          <w:rStyle w:val="PoledoUzupelnienia"/>
          <w:highlight w:val="yellow"/>
        </w:rPr>
        <w:t xml:space="preserve">[DO UZUPEŁNIENIA: nazwa klienta]</w:t>
      </w:r>
      <w:r>
        <w:t xml:space="preserve">.</w:t>
      </w:r>
    </w:p>
    <w:p>
      <w:pPr>
        <w:pStyle w:val="Normalny"/>
      </w:pPr>
      <w:r>
        <w:t xml:space="preserve">Analiza stanu obecnego oparta jest na informacjach, jakie zostały przekazane pracownikom firmy Alt One podczas organizowanych spotkań oraz drogą elektroniczną.</w:t>
      </w:r>
    </w:p>
    <w:p>
      <w:pPr>
        <w:pStyle w:val="Normalny"/>
      </w:pPr>
      <w:r>
        <w:rPr>
          <w:b/>
        </w:rPr>
        <w:t xml:space="preserve">Konkluzja:</w:t>
      </w:r>
      <w:r>
        <w:t xml:space="preserve"> </w:t>
      </w:r>
      <w:r>
        <w:rPr>
          <w:rStyle w:val="PoledoUzupelnienia"/>
          <w:highlight w:val="yellow"/>
        </w:rPr>
        <w:t xml:space="preserve">[DO UZUPEŁNIENIA: konkluzja, np. „Omówione zagadnienia i procesy mogą zostać zrealizowane zgodnie z oczekiwaniami Klienta w oparciu o funkcjonalność systemu enova365.” – z ewentualnymi zastrzeżeniami z rozdziału Pytania otwarte i ryzyka]</w:t>
      </w:r>
    </w:p>
    <w:p>
      <w:pPr>
        <w:pStyle w:val="Normalny"/>
      </w:pPr>
      <w:r>
        <w:t xml:space="preserve">Celami, które zostały postawione do zrealizowania po wdrożeniu systemu enova365, są:</w:t>
      </w:r>
    </w:p>
    <w:p>
      <w:pPr>
        <w:pStyle w:val="Listapunktowana"/>
      </w:pPr>
      <w:r>
        <w:t xml:space="preserve">Skuteczna i kompleksowa obsługa procesów administracyjnych związanych z obsługą kadr, czasu pracy i naliczaniem wynagrodzeń oraz obsługą PPK, </w:t>
      </w:r>
      <w:r>
        <w:rPr>
          <w:rStyle w:val="PoledoUzupelnienia"/>
          <w:highlight w:val="yellow"/>
        </w:rPr>
        <w:t xml:space="preserve">[DO UZUPEŁNIENIA: inne obszary, np. ZFŚS, PKZP, benefity]</w:t>
      </w:r>
      <w:r>
        <w:t xml:space="preserve">;</w:t>
      </w:r>
    </w:p>
    <w:p>
      <w:pPr>
        <w:pStyle w:val="Listapunktowana"/>
      </w:pPr>
      <w:r>
        <w:t xml:space="preserve">Optymalizacja i automatyzacja obsługi procesów kadrowo-płacowych: tworzenie dowolnych, także algorytmicznych, składników płacowych, naliczanie list płac, korekt itp.;</w:t>
      </w:r>
    </w:p>
    <w:p>
      <w:pPr>
        <w:pStyle w:val="Listapunktowana"/>
      </w:pPr>
      <w:r>
        <w:t xml:space="preserve">Realizacja płatności elektronicznych;</w:t>
      </w:r>
    </w:p>
    <w:p>
      <w:pPr>
        <w:pStyle w:val="Listapunktowana"/>
      </w:pPr>
      <w:r>
        <w:t xml:space="preserve">Wdrożenie Pulpitów Pracownika i Kierownika wraz z dedykowanymi rozwiązaniami;</w:t>
      </w:r>
    </w:p>
    <w:p>
      <w:pPr>
        <w:pStyle w:val="Listapunktowana"/>
      </w:pPr>
      <w:r>
        <w:t xml:space="preserve">Elektroniczna obsługa PIT-11, IMIR, pasków płacowych, zaświadczeń przez pracowników i przełożonych;</w:t>
      </w:r>
    </w:p>
    <w:p>
      <w:pPr>
        <w:pStyle w:val="Listapunktowana"/>
      </w:pPr>
      <w:r>
        <w:t xml:space="preserve">Elektroniczna obsługa zobowiązań publicznoprawnych (Urząd Skarbowy, ZUS);</w:t>
      </w:r>
    </w:p>
    <w:p>
      <w:pPr>
        <w:pStyle w:val="Listapunktowana"/>
      </w:pPr>
      <w:r>
        <w:t xml:space="preserve">Elektroniczny obieg wniosków kadrowych;</w:t>
      </w:r>
    </w:p>
    <w:p>
      <w:pPr>
        <w:pStyle w:val="Listapunktowana"/>
      </w:pPr>
      <w:r>
        <w:t xml:space="preserve">Możliwość elastycznego eksportowania danych do pliku Excel w celu dalszej analizy;</w:t>
      </w:r>
    </w:p>
    <w:p>
      <w:pPr>
        <w:pStyle w:val="Listapunktowana"/>
      </w:pPr>
      <w:r>
        <w:t xml:space="preserve">Możliwość budowania własnych raportów i ich edycji w oparciu o widoki i listy;</w:t>
      </w:r>
    </w:p>
    <w:p>
      <w:pPr>
        <w:pStyle w:val="Listapunktowana"/>
      </w:pPr>
      <w:r>
        <w:t xml:space="preserve">Integracja z systemami zewnętrznymi;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dodatkowe cele wskazane przez Klienta]</w:t>
      </w:r>
      <w:r>
        <w:t xml:space="preserve">.</w:t>
      </w:r>
    </w:p>
    <w:p>
      <w:pPr>
        <w:pStyle w:val="Nagwek2"/>
      </w:pPr>
      <w:r>
        <w:t xml:space="preserve">Wymagania</w:t>
      </w:r>
    </w:p>
    <w:p>
      <w:pPr>
        <w:pStyle w:val="Normalny"/>
      </w:pPr>
      <w:r>
        <w:t xml:space="preserve">Poniżej zawarte zostały wymagania związane z wdrożeniem systemu enova365. Wszelkie dane oparte są o informacje, jakie zostały przekazane w zapytaniu ofertowym oraz przekazane konsultantom firmy Alt One podczas odbytych spotkań analitycznych.</w:t>
      </w:r>
    </w:p>
    <w:p>
      <w:pPr>
        <w:pStyle w:val="Listapunktowana"/>
      </w:pPr>
      <w:r>
        <w:t xml:space="preserve">Pełne administrowanie kadrami;</w:t>
      </w:r>
    </w:p>
    <w:p>
      <w:pPr>
        <w:pStyle w:val="Listapunktowana"/>
      </w:pPr>
      <w:r>
        <w:t xml:space="preserve">Dostosowanie modułu kadrowego do indywidualnych potrzeb Klienta;</w:t>
      </w:r>
    </w:p>
    <w:p>
      <w:pPr>
        <w:pStyle w:val="Listapunktowana"/>
      </w:pPr>
      <w:r>
        <w:t xml:space="preserve">Pełne administrowanie płacami, w tym także tworzenie tak zwanych rezerw;</w:t>
      </w:r>
    </w:p>
    <w:p>
      <w:pPr>
        <w:pStyle w:val="Listapunktowana"/>
      </w:pPr>
      <w:r>
        <w:t xml:space="preserve">Ewidencja i rozliczanie czasu pracy;</w:t>
      </w:r>
    </w:p>
    <w:p>
      <w:pPr>
        <w:pStyle w:val="Listapunktowana"/>
      </w:pPr>
      <w:r>
        <w:t xml:space="preserve">Dostosowanie raportów i wydruków;</w:t>
      </w:r>
    </w:p>
    <w:p>
      <w:pPr>
        <w:pStyle w:val="Listapunktowana"/>
      </w:pPr>
      <w:r>
        <w:t xml:space="preserve">Udostępnienie pracownikom i kierownikom Pulpitów Pracowniczych oraz Kierowniczych wraz z dodatkowymi funkcjonalnościami zgłoszonymi podczas analizy;</w:t>
      </w:r>
    </w:p>
    <w:p>
      <w:pPr>
        <w:pStyle w:val="Listapunktowana"/>
      </w:pPr>
      <w:r>
        <w:t xml:space="preserve">Integracja programu enova365 z systemami zewnętrznymi – </w:t>
      </w:r>
      <w:r>
        <w:rPr>
          <w:rStyle w:val="PoledoUzupelnienia"/>
          <w:highlight w:val="yellow"/>
        </w:rPr>
        <w:t xml:space="preserve">[DO UZUPEŁNIENIA: lista systemów]</w:t>
      </w:r>
      <w:r>
        <w:t xml:space="preserve">;</w:t>
      </w:r>
    </w:p>
    <w:p>
      <w:pPr>
        <w:pStyle w:val="Listapunktowana"/>
      </w:pPr>
      <w:r>
        <w:t xml:space="preserve">Przygotowanie mechanizmu umożliwiającego import przelewów płacowych do banku;</w:t>
      </w:r>
    </w:p>
    <w:p>
      <w:pPr>
        <w:pStyle w:val="Listapunktowana"/>
      </w:pPr>
      <w:r>
        <w:t xml:space="preserve">Możliwość przyporządkowania wynagrodzeń na różne MPK i projekty;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pozostałe wymagania z zapytania ofertowego lub umowy]</w:t>
      </w:r>
      <w:r>
        <w:t xml:space="preserve">.</w:t>
      </w:r>
    </w:p>
    <w:p>
      <w:pPr>
        <w:pStyle w:val="Nagwek1"/>
      </w:pPr>
      <w:r>
        <w:t xml:space="preserve">Ogólna charakterystyka</w:t>
      </w:r>
    </w:p>
    <w:p>
      <w:pPr>
        <w:pStyle w:val="Nagwek2"/>
      </w:pPr>
      <w:r>
        <w:t xml:space="preserve">Otoczenie biznesowe</w:t>
      </w:r>
    </w:p>
    <w:p>
      <w:pPr>
        <w:pStyle w:val="Normalny"/>
      </w:pPr>
      <w:r>
        <w:t xml:space="preserve">Z systemu enova365 będą korzystały następujące spółki: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pełna nazwa spółki]</w:t>
      </w:r>
      <w:r>
        <w:t xml:space="preserve">;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pełna nazwa kolejnej spółki – usuń, jeśli nie dotyczy]</w:t>
      </w:r>
      <w:r>
        <w:t xml:space="preserve">.</w:t>
      </w:r>
    </w:p>
    <w:p>
      <w:pPr>
        <w:pStyle w:val="Normalny"/>
      </w:pPr>
      <w:r>
        <w:t xml:space="preserve">Łącznie zatrudnionych jest około </w:t>
      </w:r>
      <w:r>
        <w:rPr>
          <w:rStyle w:val="PoledoUzupelnienia"/>
          <w:highlight w:val="yellow"/>
        </w:rPr>
        <w:t xml:space="preserve">[DO UZUPEŁNIENIA: liczba]</w:t>
      </w:r>
      <w:r>
        <w:t xml:space="preserve"> pracowników na podstawie umowy o pracę i około </w:t>
      </w:r>
      <w:r>
        <w:rPr>
          <w:rStyle w:val="PoledoUzupelnienia"/>
          <w:highlight w:val="yellow"/>
        </w:rPr>
        <w:t xml:space="preserve">[DO UZUPEŁNIENIA: liczba]</w:t>
      </w:r>
      <w:r>
        <w:t xml:space="preserve"> osób na podstawie umów cywilnoprawnych.</w:t>
      </w:r>
    </w:p>
    <w:p>
      <w:pPr>
        <w:pStyle w:val="Normalny"/>
      </w:pPr>
      <w:r>
        <w:t xml:space="preserve">Klient obecnie pracuje na systemie kadrowo-płacowym </w:t>
      </w:r>
      <w:r>
        <w:rPr>
          <w:rStyle w:val="PoledoUzupelnienia"/>
          <w:highlight w:val="yellow"/>
        </w:rPr>
        <w:t xml:space="preserve">[DO UZUPEŁNIENIA: obecny system kadrowo-płacowy]</w:t>
      </w:r>
      <w:r>
        <w:t xml:space="preserve"> oraz </w:t>
      </w:r>
      <w:r>
        <w:rPr>
          <w:rStyle w:val="PoledoUzupelnienia"/>
          <w:highlight w:val="yellow"/>
        </w:rPr>
        <w:t xml:space="preserve">[DO UZUPEŁNIENIA: inne używane systemy, np. HR, planowanie czasu pracy, RCP – lub „nie dotyczy”]</w:t>
      </w:r>
      <w:r>
        <w:t xml:space="preserve">.</w:t>
      </w:r>
    </w:p>
    <w:p>
      <w:pPr>
        <w:pStyle w:val="Normalny"/>
      </w:pPr>
      <w:r>
        <w:t xml:space="preserve">Program enova365 będzie wykorzystywany w zakresie obsługi kadrowo-płacowej, jak również pulpitów pracowniczych umożliwiających samoobsługę pracowniczą poprzez m.in. składanie wniosków o nieobecności czy ewidencjonowanie planów pracy przez przełożonych.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specyfika Klienta – branża, struktura zatrudnienia, lokalizacje, kluczowe potrzeby biznesowe, system wiodący dla danych kadrowych]</w:t>
      </w:r>
    </w:p>
    <w:p>
      <w:pPr>
        <w:pStyle w:val="Nagwek2"/>
      </w:pPr>
      <w:r>
        <w:t xml:space="preserve">Wdrożenie w kilku bazach danych</w:t>
      </w:r>
    </w:p>
    <w:p>
      <w:pPr>
        <w:pStyle w:val="Sekcjaopcjonalna"/>
      </w:pPr>
      <w:r>
        <w:t xml:space="preserve">[SEKCJA OPCJONALNA – usuń, jeśli nie dotyczy]</w:t>
      </w:r>
      <w:r>
        <w:t xml:space="preserve"> Dotyczy wdrożeń, w których spółki lub grupy pracowników będą obsługiwane w odrębnych bazach.</w:t>
      </w:r>
    </w:p>
    <w:p>
      <w:pPr>
        <w:pStyle w:val="Normalny"/>
      </w:pPr>
      <w:r>
        <w:t xml:space="preserve">Podczas analizy ustalono uruchomienie </w:t>
      </w:r>
      <w:r>
        <w:rPr>
          <w:rStyle w:val="PoledoUzupelnienia"/>
          <w:highlight w:val="yellow"/>
        </w:rPr>
        <w:t xml:space="preserve">[DO UZUPEŁNIENIA: liczba]</w:t>
      </w:r>
      <w:r>
        <w:t xml:space="preserve"> baz danych, w których przechowywane będą dane następujących podmiotów:</w:t>
      </w:r>
    </w:p>
    <w:p>
      <w:pPr>
        <w:pStyle w:val="Listapunktowana"/>
      </w:pPr>
      <w:r>
        <w:t xml:space="preserve">baza 1: </w:t>
      </w:r>
      <w:r>
        <w:rPr>
          <w:rStyle w:val="PoledoUzupelnienia"/>
          <w:highlight w:val="yellow"/>
        </w:rPr>
        <w:t xml:space="preserve">[DO UZUPEŁNIENIA: spółki lub grupy pracowników]</w:t>
      </w:r>
      <w:r>
        <w:t xml:space="preserve">;</w:t>
      </w:r>
    </w:p>
    <w:p>
      <w:pPr>
        <w:pStyle w:val="Listapunktowana"/>
      </w:pPr>
      <w:r>
        <w:t xml:space="preserve">baza 2: </w:t>
      </w:r>
      <w:r>
        <w:rPr>
          <w:rStyle w:val="PoledoUzupelnienia"/>
          <w:highlight w:val="yellow"/>
        </w:rPr>
        <w:t xml:space="preserve">[DO UZUPEŁNIENIA: spółki lub grupy pracowników oraz cel wydzielenia bazy]</w:t>
      </w:r>
      <w:r>
        <w:t xml:space="preserve">.</w:t>
      </w:r>
    </w:p>
    <w:p>
      <w:pPr>
        <w:pStyle w:val="Normalny"/>
      </w:pPr>
      <w:r>
        <w:t xml:space="preserve">Warunki licencyjne pracy na kilku bazach: </w:t>
      </w:r>
      <w:r>
        <w:rPr>
          <w:rStyle w:val="PoledoUzupelnienia"/>
          <w:highlight w:val="yellow"/>
        </w:rPr>
        <w:t xml:space="preserve">[DO UZUPEŁNIENIA: potwierdzić w kosztorysie – wszystkie bazy muszą znajdować się na jednym serwerze bazy danych]</w:t>
      </w:r>
      <w:r>
        <w:t xml:space="preserve">.</w:t>
      </w:r>
    </w:p>
    <w:p>
      <w:pPr>
        <w:pStyle w:val="Nagwek1"/>
      </w:pPr>
      <w:r>
        <w:t xml:space="preserve">Realizacja wymagań Zamawiającego</w:t>
      </w:r>
    </w:p>
    <w:p>
      <w:pPr>
        <w:pStyle w:val="Nagwek2"/>
      </w:pPr>
      <w:r>
        <w:t xml:space="preserve">Dane konfiguracyjne spółki</w:t>
      </w:r>
    </w:p>
    <w:p>
      <w:pPr>
        <w:pStyle w:val="Normalny"/>
      </w:pPr>
      <w:r>
        <w:t xml:space="preserve">W pliku „</w:t>
      </w:r>
      <w:r>
        <w:rPr>
          <w:rStyle w:val="PoledoUzupelnienia"/>
          <w:highlight w:val="yellow"/>
        </w:rPr>
        <w:t xml:space="preserve">[DO UZUPEŁNIENIA: nazwa pliku specyfikacji konfiguracyjnej]</w:t>
      </w:r>
      <w:r>
        <w:t xml:space="preserve">.xlsx” załączonym do niniejszego dokumentu analizy znajdują się szczegółowe dane spółek, które zostaną wprowadzone do systemu enova365. Wskazane w pliku informacje będą się generować m.in. w raportach Klienta oraz plikach eksportowanych np. do programu Płatnik, instytucji finansowej PPK czy Urzędu Skarbowego.</w:t>
      </w:r>
    </w:p>
    <w:p>
      <w:pPr>
        <w:pStyle w:val="Normalny"/>
      </w:pPr>
      <w:r>
        <w:t xml:space="preserve">Na etapie spotkań analitycznych ustalono, że baza programu enova365 zostanie przygotowana w konfiguracji </w:t>
      </w:r>
      <w:r>
        <w:rPr>
          <w:rStyle w:val="PoledoUzupelnienia"/>
          <w:highlight w:val="yellow"/>
        </w:rPr>
        <w:t xml:space="preserve">[DO UZUPEŁNIENIA: jednooddziałowej / wielooddziałowej – w ramach jednej bazy danych konfiguracja dla wskazanych spółek]</w:t>
      </w:r>
      <w:r>
        <w:t xml:space="preserve">.</w:t>
      </w:r>
    </w:p>
    <w:p>
      <w:pPr>
        <w:pStyle w:val="Nagwek2"/>
      </w:pPr>
      <w:r>
        <w:t xml:space="preserve">Konfiguracja dostępów, lista użytkowników</w:t>
      </w:r>
    </w:p>
    <w:p>
      <w:pPr>
        <w:pStyle w:val="Normalny"/>
      </w:pPr>
      <w:r>
        <w:t xml:space="preserve">W celu przypisania Operatorom odpowiednich uprawnień do zasobów oraz funkcjonalności systemu enova365 w pierwszej kolejności należy skonfigurować odpowiednie „Role”. Rola to grupa uprawnień – poprzez jej przygotowanie możemy zdecydować, do jakich informacji oraz do jakich czynności Operator będzie miał dostęp. Dodatkowo w konfiguracji Operatora nadajemy prawa obiektowe do konkretnego „rodzaju” danych, np. do wydziałów, definicji listy płac itp.</w:t>
      </w:r>
    </w:p>
    <w:p>
      <w:pPr>
        <w:pStyle w:val="Normalny"/>
      </w:pPr>
      <w:r>
        <w:t xml:space="preserve">Innym wymiarem uprawnień w systemie jest ograniczenie praw dostępu do konkretnych spółek lub jednostek organizacyjnych. Operator może mieć wgląd w ramach jednego uprawnienia do wybranych spółek, ale w ramach tych spółek nie mieć dostępu do wskazanej jednostki (np. do Zarządu).</w:t>
      </w:r>
    </w:p>
    <w:p>
      <w:pPr>
        <w:pStyle w:val="Normalny"/>
      </w:pPr>
      <w:r>
        <w:t xml:space="preserve">W programie enova365 w zakresie Kadr i Płac zostaną skonfigurowane następujące role: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2527"/>
        <w:gridCol w:w="6499"/>
      </w:tblGrid>
      <w:tr>
        <w:trPr>
          <w:cantSplit/>
          <w:tblHeader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Rola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Opis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Administrator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Pełen dostęp do funkcjonalności programu oraz możliwość zarządzania użytkownikami i podstawową konfiguracją systemu.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Kadry i płace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Pełen dostęp do części kadrowej i płacowej, bez dostępu do opcji konfiguracyjnych systemu.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HR (podgląd)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Dostęp tylko do danych kadrowych w trybie podglądu, bez możliwości edycji danych i bez dostępu do wynagrodzeń. Brak dostępu do opcji konfiguracyjnych.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BHP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Dostęp ograniczony do podstawowych danych osobowych pracowników z możliwością dodawania szkoleń BHP i badań lekarskich oraz raportowania.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rola dedykowana, np. Administrator ZFŚS, Administrator PKZP, Administrator benefitów]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zakres dostępu]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Wykaz ról</w:t>
      </w:r>
    </w:p>
    <w:p>
      <w:pPr>
        <w:pStyle w:val="Normalny"/>
      </w:pPr>
      <w:r>
        <w:t xml:space="preserve">Z modułu Kadry i Płace będą korzystać następujący operatorzy z przypisanymi rolami: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541"/>
        <w:gridCol w:w="2888"/>
        <w:gridCol w:w="2347"/>
        <w:gridCol w:w="3249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2888" w:type="dxa"/>
          </w:tcPr>
          <w:p>
            <w:pPr>
              <w:pStyle w:val="Tekstabeli"/>
            </w:pPr>
            <w:r>
              <w:t xml:space="preserve">Operator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Login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Rola i zakres dostępu (spółki, jednostki)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288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imię i nazwisko operatora]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zasada budowy loginu]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rola]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2888" w:type="dxa"/>
          </w:tcPr>
          <w:p>
            <w:pPr>
              <w:pStyle w:val="Tekstabeli"/>
            </w:pPr>
          </w:p>
        </w:tc>
        <w:tc>
          <w:tcPr>
            <w:tcW w:w="2347" w:type="dxa"/>
          </w:tcPr>
          <w:p>
            <w:pPr>
              <w:pStyle w:val="Tekstabeli"/>
            </w:pPr>
          </w:p>
        </w:tc>
        <w:tc>
          <w:tcPr>
            <w:tcW w:w="3249" w:type="dxa"/>
          </w:tcPr>
          <w:p>
            <w:pPr>
              <w:pStyle w:val="Tekstabeli"/>
            </w:pP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Operatorzy systemu</w:t>
      </w:r>
    </w:p>
    <w:p>
      <w:pPr>
        <w:pStyle w:val="Normalny"/>
      </w:pPr>
      <w:r>
        <w:t xml:space="preserve">Odpowiednie uprawnienia i operatorzy zostaną utworzeni na podstawie pliku „</w:t>
      </w:r>
      <w:r>
        <w:rPr>
          <w:rStyle w:val="PoledoUzupelnienia"/>
          <w:highlight w:val="yellow"/>
        </w:rPr>
        <w:t xml:space="preserve">[DO UZUPEŁNIENIA: nazwa pliku z operatorami i uprawnieniami]</w:t>
      </w:r>
      <w:r>
        <w:t xml:space="preserve">.xlsx” uzupełnionego przez Klienta na etapie analizy. </w:t>
      </w:r>
      <w:r>
        <w:rPr>
          <w:rStyle w:val="PoledoUzupelnienia"/>
          <w:highlight w:val="yellow"/>
        </w:rPr>
        <w:t xml:space="preserve">[DO UZUPEŁNIENIA: ustalenia dotyczące dostępu do spółek i jednostek, np. jednostka Zarządu dostępna tylko dla wskazanych osób]</w:t>
      </w:r>
    </w:p>
    <w:p>
      <w:pPr>
        <w:pStyle w:val="Normalny"/>
      </w:pPr>
      <w:r>
        <w:t xml:space="preserve">Firma Alt One będzie posiadała uprawnienia o nazwie </w:t>
      </w:r>
      <w:r>
        <w:rPr>
          <w:rStyle w:val="PoledoUzupelnienia"/>
          <w:highlight w:val="yellow"/>
        </w:rPr>
        <w:t xml:space="preserve">[DO UZUPEŁNIENIA: nazwy ról serwisowych wykonawcy]</w:t>
      </w:r>
      <w:r>
        <w:t xml:space="preserve">. Licencje pracowników Alt One będą licencjami serwisowymi, co oznacza, że podczas wykonywania prac serwisowych na systemie nie będą blokować dostępnej licencji dla Klienta.</w:t>
      </w:r>
    </w:p>
    <w:p>
      <w:pPr>
        <w:pStyle w:val="Normalny"/>
      </w:pPr>
      <w:r>
        <w:t xml:space="preserve">Dostęp do pełnej wersji programu enova365, jak i do pulpitów pracownika i kierownika będzie realizowany indywidualnym loginem i opatrzony hasłem. Sposób logowania: </w:t>
      </w:r>
      <w:r>
        <w:rPr>
          <w:rStyle w:val="PoledoUzupelnienia"/>
          <w:highlight w:val="yellow"/>
        </w:rPr>
        <w:t xml:space="preserve">[DO UZUPEŁNIENIA: login i hasło enova365 / logowanie domenowe Active Directory / dodatkowo podwójna autentyfikacja]</w:t>
      </w:r>
      <w:r>
        <w:t xml:space="preserve">.</w:t>
      </w:r>
    </w:p>
    <w:p>
      <w:pPr>
        <w:pStyle w:val="Nagwek3"/>
      </w:pPr>
      <w:r>
        <w:t xml:space="preserve">Wymagania licencyjne</w:t>
      </w:r>
    </w:p>
    <w:p>
      <w:pPr>
        <w:pStyle w:val="Normalny"/>
      </w:pPr>
      <w:r>
        <w:t xml:space="preserve">Klient musi posiadać następującą liczbę licencji. Wykaz licencji zostanie zawarty w kosztorysie do Umowy wdrożeniowej.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6770"/>
        <w:gridCol w:w="2256"/>
      </w:tblGrid>
      <w:tr>
        <w:trPr>
          <w:cantSplit/>
          <w:tblHeader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Moduł enova365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t xml:space="preserve">Liczba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Kadry Płace </w:t>
            </w:r>
            <w:r>
              <w:rPr>
                <w:rStyle w:val="PoledoUzupelnienia"/>
                <w:highlight w:val="yellow"/>
              </w:rPr>
              <w:t xml:space="preserve">[DO UZUPEŁNIENIA: wariant złoty / platynowy]</w:t>
            </w:r>
            <w:r>
              <w:t xml:space="preserve"> (wersja okienkowa)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Pulpit Pracownika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Pulpit Kierownika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Czas Pracy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Workflow (wersja okienkowa, w pulpitach, konfigurator)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Harmonogram Zadań (wymagany m.in. do automatycznego importu zwolnień z PUE)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Pracownicy Eksportowi – dodatek do rozliczania pracowników oddelegowanych za granicę (opcjonalnie)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 lub „nie dotyczy”]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enova365 Logowanie serwisowe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inne moduły]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Licencje enova365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6770"/>
        <w:gridCol w:w="2256"/>
      </w:tblGrid>
      <w:tr>
        <w:trPr>
          <w:cantSplit/>
          <w:tblHeader/>
        </w:trPr>
        <w:tc>
          <w:tcPr>
            <w:tcW w:w="6770" w:type="dxa"/>
          </w:tcPr>
          <w:p>
            <w:pPr>
              <w:pStyle w:val="Tekstabeli"/>
            </w:pPr>
            <w:r>
              <w:t xml:space="preserve">Rozwiązanie Alt One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t xml:space="preserve">Liczba</w:t>
            </w:r>
          </w:p>
        </w:tc>
      </w:tr>
      <w:tr>
        <w:trPr>
          <w:cantSplit/>
        </w:trPr>
        <w:tc>
          <w:tcPr>
            <w:tcW w:w="677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np. Weryfikatory czasu pracy, Dashboard, podwójna autentyfikacja, Wniosek pracowniczy, Planowanie urlopów]</w:t>
            </w:r>
          </w:p>
        </w:tc>
        <w:tc>
          <w:tcPr>
            <w:tcW w:w="225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Licencje rozwiązań Alt One</w:t>
      </w:r>
    </w:p>
    <w:p>
      <w:pPr>
        <w:pStyle w:val="Normalny"/>
      </w:pPr>
      <w:r>
        <w:rPr>
          <w:b/>
        </w:rPr>
        <w:t xml:space="preserve">UWAGA:</w:t>
      </w:r>
      <w:r>
        <w:t xml:space="preserve"> Zgodnie z instrukcją producenta wyłącznie w wariancie platynowym licencji Kadry Płace dostępne są m.in.: dane z RCP i oryginalne dane z RCP, rozliczenie czasu pracy, dokumenty aktualizacji i wersjonowanie kalendarzy, weryfikatory kalendarza, magazyn nadgodzin, planowane nieobecności (plany urlopów), planowane listy płac (rezerwy), ZFŚS, pracownicy zewnętrzni (B2B, APT) oraz listy ewidencji (np. badania lekarskie, nagrody i kary). Od wariantu złotego dostępne są m.in. elektroniczna dokumentacja pracownicza, lista importu nieobecności z PUE, struktura organizacyjna, definiowanie dni pracy i ochrona danych osobowych. Wariant licencji należy potwierdzić względem wymagań opisanych w załącznikach.</w:t>
      </w:r>
    </w:p>
    <w:p>
      <w:pPr>
        <w:pStyle w:val="Nagwek2"/>
      </w:pPr>
      <w:r>
        <w:t xml:space="preserve">Struktura organizacyjna</w:t>
      </w:r>
    </w:p>
    <w:p>
      <w:pPr>
        <w:pStyle w:val="Normalny"/>
      </w:pPr>
      <w:r>
        <w:t xml:space="preserve">W programie utworzone zostaną dwie struktury:</w:t>
      </w:r>
    </w:p>
    <w:p>
      <w:pPr>
        <w:pStyle w:val="Listapunktowana"/>
      </w:pPr>
      <w:r>
        <w:t xml:space="preserve">formalno-prawna (wydziałowa);</w:t>
      </w:r>
    </w:p>
    <w:p>
      <w:pPr>
        <w:pStyle w:val="Listapunktowana"/>
      </w:pPr>
      <w:r>
        <w:t xml:space="preserve">podległościowa (do wykorzystania w pulpitach pracowniczych).</w:t>
      </w:r>
    </w:p>
    <w:p>
      <w:pPr>
        <w:pStyle w:val="Normalny"/>
      </w:pPr>
      <w:r>
        <w:t xml:space="preserve">Obie struktury to dwie niezależne konfiguracje w systemie, co oznacza, że zmiana jednostki organizacyjnej w strukturze wydziałowej domyślnie nie wiąże się bezpośrednio ze zmianą jednostki w strukturze podległościowej i na odwrót.</w:t>
      </w:r>
    </w:p>
    <w:p>
      <w:pPr>
        <w:pStyle w:val="Normalny"/>
      </w:pPr>
      <w:r>
        <w:t xml:space="preserve">W każdej ze struktur zostanie włączona tak zwana historyczność, dzięki temu będzie można przechowywać historyczne informacje o powstałych elementach struktury, okresie ich obowiązywania oraz przypięciu pracowników do konkretnych elementów.</w:t>
      </w:r>
    </w:p>
    <w:p>
      <w:pPr>
        <w:pStyle w:val="Normalny"/>
      </w:pPr>
      <w:r>
        <w:t xml:space="preserve">Struktura wydziałowa zostanie zmigrowana na dzień uruchomienia systemu. Wydziały, które nie są już aktualne, zostaną zmigrowane jako archiwalne.</w:t>
      </w:r>
    </w:p>
    <w:p>
      <w:pPr>
        <w:pStyle w:val="Nagwek3"/>
      </w:pPr>
      <w:r>
        <w:t xml:space="preserve">Struktura wydziałowa (formalno-prawna)</w:t>
      </w:r>
    </w:p>
    <w:p>
      <w:pPr>
        <w:pStyle w:val="Normalny"/>
      </w:pPr>
      <w:r>
        <w:t xml:space="preserve">Struktura ta odzwierciedla podział na jednostki organizacyjne zgodnie z faktycznym stanem w spółkach. Wyjściowa struktura organizacyjna na dzień uruchomienia systemu enova365 zostanie skonfigurowana zgodnie z danymi przekazanymi przez Klienta na etapie wdrożenia (tj. struktura aktualna na dzień wdrożenia).</w:t>
      </w:r>
    </w:p>
    <w:p>
      <w:pPr>
        <w:pStyle w:val="Normalny"/>
      </w:pPr>
      <w:r>
        <w:t xml:space="preserve">Kartoteki pracowników zatrudnionych na umowę o pracę będą przypisywane do struktury formalno-prawnej za pomocą zakładki Etat/Ogólne, natomiast osoby współpracujące na podstawie umowy cywilnoprawnej będą przyporządkowane do struktury poprzez przypisanie aktualnej umowy do właściwego wydziału.</w:t>
      </w:r>
    </w:p>
    <w:p>
      <w:pPr>
        <w:pStyle w:val="Normalny"/>
      </w:pPr>
      <w:r>
        <w:t xml:space="preserve">Po uruchomieniu systemu wszelkie zmiany w strukturze formalno-prawnej oraz przypisywanie kartotek do jednostek organizacyjnych będą możliwe do wykonywania przez operatorów systemu enova365. Dzięki historyczności będzie można zweryfikować jednostkę organizacyjną przypisaną do pracownika na dowolny dzień zatrudnienia.</w:t>
      </w:r>
    </w:p>
    <w:p>
      <w:pPr>
        <w:pStyle w:val="Normalny"/>
      </w:pPr>
      <w:r>
        <w:t xml:space="preserve">Zarządzanie strukturą formalno-prawną:</w:t>
      </w:r>
    </w:p>
    <w:p>
      <w:pPr>
        <w:pStyle w:val="Listapunktowana"/>
      </w:pPr>
      <w:r>
        <w:t xml:space="preserve">utworzenie nowej komórki organizacyjnej – odbywa się poprzez założenie w systemie nowej jednostki organizacyjnej z uzupełnieniem podstawowych informacji, takich jak: kod wydziału (wartość unikalna), nazwa wydziału (wartość unikalna), wydział nadrzędny w strukturze, nadanie praw dla wybranych operatorów;</w:t>
      </w:r>
    </w:p>
    <w:p>
      <w:pPr>
        <w:pStyle w:val="Listapunktowana"/>
      </w:pPr>
      <w:r>
        <w:t xml:space="preserve">zmiana nazwy komórki organizacyjnej – możliwa jest w dowolnym momencie pracy z systemem przy zastosowaniu się do zasad:</w:t>
      </w:r>
    </w:p>
    <w:p>
      <w:pPr>
        <w:pStyle w:val="Listapunktowana"/>
        <w:numPr>
          <w:ilvl w:val="1"/>
          <w:numId w:val="2"/>
        </w:numPr>
      </w:pPr>
      <w:r>
        <w:t xml:space="preserve">nowa nazwa nie może być identyczna z nazwą innej, istniejącej już jednostki organizacyjnej,</w:t>
      </w:r>
    </w:p>
    <w:p>
      <w:pPr>
        <w:pStyle w:val="Listapunktowana"/>
        <w:numPr>
          <w:ilvl w:val="1"/>
          <w:numId w:val="2"/>
        </w:numPr>
      </w:pPr>
      <w:r>
        <w:t xml:space="preserve">liczba znaków nazwy nie może przekroczyć 80,</w:t>
      </w:r>
    </w:p>
    <w:p>
      <w:pPr>
        <w:pStyle w:val="Listapunktowana"/>
        <w:numPr>
          <w:ilvl w:val="1"/>
          <w:numId w:val="2"/>
        </w:numPr>
      </w:pPr>
      <w:r>
        <w:t xml:space="preserve">zmiana nazwy jednostki organizacyjnej spowoduje jej zmianę we wszystkich historycznych zapisach, w których dana jednostka była używana.</w:t>
      </w:r>
    </w:p>
    <w:p>
      <w:pPr>
        <w:pStyle w:val="Normalny"/>
      </w:pPr>
      <w:r>
        <w:rPr>
          <w:b/>
        </w:rPr>
        <w:t xml:space="preserve">UWAGA:</w:t>
      </w:r>
      <w:r>
        <w:t xml:space="preserve"> Z uwagi na zdarzające się przypadki problemów z wygenerowaniem raportów przy wprowadzeniu znaku „&amp;”, zalecamy, aby, jeśli to możliwe, zamienić ten znak na wyrażenie „and”.</w:t>
      </w:r>
    </w:p>
    <w:p>
      <w:pPr>
        <w:pStyle w:val="Normalny"/>
      </w:pPr>
      <w:r>
        <w:t xml:space="preserve">Na etapie analizy ustalono, że w definicjach jednostek organizacyjnych powstaną dodatkowe pola: </w:t>
      </w:r>
      <w:r>
        <w:rPr>
          <w:rStyle w:val="PoledoUzupelnienia"/>
          <w:highlight w:val="yellow"/>
        </w:rPr>
        <w:t xml:space="preserve">[DO UZUPEŁNIENIA: pola dodatkowe jednostek, np. przełożony, miejscowość, MPK, data uchwały – lub „nie dotyczy”]</w:t>
      </w:r>
      <w:r>
        <w:t xml:space="preserve">.</w:t>
      </w:r>
    </w:p>
    <w:p>
      <w:pPr>
        <w:pStyle w:val="Nagwek3"/>
      </w:pPr>
      <w:r>
        <w:t xml:space="preserve">Struktura podległościowa</w:t>
      </w:r>
    </w:p>
    <w:p>
      <w:pPr>
        <w:pStyle w:val="Normalny"/>
      </w:pPr>
      <w:r>
        <w:t xml:space="preserve">Struktura podległościowa wykorzystywana jest przede wszystkim do prawidłowego funkcjonowania pulpitów pracowniczych. Określa hierarchię w firmie, czyli przypisuje pracownikom ich bezpośrednich przełożonych. Przełożony jest odpowiedzialny za obsługę procesów związanych z wnioskami zgodnie z wytycznymi zawartymi w dokumencie analizy. Kierownik w pulpicie będzie widział wszystkie podpięte do niego kartoteki bez względu na formę współpracy.</w:t>
      </w:r>
    </w:p>
    <w:p>
      <w:pPr>
        <w:pStyle w:val="Normalny"/>
      </w:pPr>
      <w:r>
        <w:t xml:space="preserve">Struktura podległościowa zostanie skonfigurowana </w:t>
      </w:r>
      <w:r>
        <w:rPr>
          <w:rStyle w:val="PoledoUzupelnienia"/>
          <w:highlight w:val="yellow"/>
        </w:rPr>
        <w:t xml:space="preserve">[DO UZUPEŁNIENIA: analogicznie do struktury wydziałowej / imiennie – nazwą elementu jest przełożony / według obecnego systemu Klienta]</w:t>
      </w:r>
      <w:r>
        <w:t xml:space="preserve">. W pliku „</w:t>
      </w:r>
      <w:r>
        <w:rPr>
          <w:rStyle w:val="PoledoUzupelnienia"/>
          <w:highlight w:val="yellow"/>
        </w:rPr>
        <w:t xml:space="preserve">[DO UZUPEŁNIENIA: nazwa pliku struktury podległości]</w:t>
      </w:r>
      <w:r>
        <w:t xml:space="preserve">.xlsx”, załączonym do niniejszego dokumentu, zawarty jest wycinek struktury podległościowej Klienta. Aktualny plik struktury zostanie przekazany przez Klienta na etapie wdrożenia.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ustalenia dotyczące utrzymania struktury – np. automatyczne przepięcie pracownika przy zmianie wydziału lub przełożonego (mechanizm N) albo weryfikator ostrzegający o konieczności zmiany wpięcia; decyzja Klienta]</w:t>
      </w:r>
    </w:p>
    <w:p>
      <w:pPr>
        <w:pStyle w:val="Nagwek2"/>
      </w:pPr>
      <w:r>
        <w:t xml:space="preserve">Konfiguracja kadr</w:t>
      </w:r>
    </w:p>
    <w:p>
      <w:pPr>
        <w:pStyle w:val="Normalny"/>
      </w:pPr>
      <w:r>
        <w:t xml:space="preserve">Założenia do konfiguracji kadr zostały opisane w załączniku nr 1 – Kadry do analizy przedwdrożeniowej.</w:t>
      </w:r>
    </w:p>
    <w:p>
      <w:pPr>
        <w:pStyle w:val="Nagwek2"/>
      </w:pPr>
      <w:r>
        <w:t xml:space="preserve">Kalendarze i ewidencja czasu pracy</w:t>
      </w:r>
    </w:p>
    <w:p>
      <w:pPr>
        <w:pStyle w:val="Normalny"/>
      </w:pPr>
      <w:r>
        <w:t xml:space="preserve">Założenia do konfiguracji czasu pracy zostały opisane w załączniku nr 2 – Kalendarze i ewidencja czasu pracy do analizy przedwdrożeniowej.</w:t>
      </w:r>
    </w:p>
    <w:p>
      <w:pPr>
        <w:pStyle w:val="Nagwek2"/>
      </w:pPr>
      <w:r>
        <w:t xml:space="preserve">Konfiguracja płac, istotne zagadnienia</w:t>
      </w:r>
    </w:p>
    <w:p>
      <w:pPr>
        <w:pStyle w:val="Normalny"/>
      </w:pPr>
      <w:r>
        <w:t xml:space="preserve">Założenia do konfiguracji płac zostały opisane w załączniku nr 3 – Płace do analizy przedwdrożeniowej.</w:t>
      </w:r>
    </w:p>
    <w:p>
      <w:pPr>
        <w:pStyle w:val="Nagwek2"/>
      </w:pPr>
      <w:r>
        <w:t xml:space="preserve">Podzielnik kosztów i księgowanie list płac</w:t>
      </w:r>
    </w:p>
    <w:p>
      <w:pPr>
        <w:pStyle w:val="Sekcjaopcjonalna"/>
      </w:pPr>
      <w:r>
        <w:t xml:space="preserve">[SEKCJA OPCJONALNA – usuń, jeśli nie dotyczy]</w:t>
      </w:r>
      <w:r>
        <w:t xml:space="preserve"> Obszar realizowany poza zakresem Kadr i Płac – w dokumencie pozostaje wyłącznie odesłanie.</w:t>
      </w:r>
    </w:p>
    <w:p>
      <w:pPr>
        <w:pStyle w:val="Normalny"/>
      </w:pPr>
      <w:r>
        <w:t xml:space="preserve">Założenia do podzielnika kosztów oraz księgowania list płac zostały opisane w załączniku nr 4 – Podzielnik kosztów do analizy przedwdrożeniowej.</w:t>
      </w:r>
    </w:p>
    <w:p>
      <w:pPr>
        <w:pStyle w:val="Nagwek2"/>
      </w:pPr>
      <w:r>
        <w:t xml:space="preserve">eDeklaracje PIT-11</w:t>
      </w:r>
    </w:p>
    <w:p>
      <w:pPr>
        <w:pStyle w:val="Normalny"/>
      </w:pPr>
      <w:r>
        <w:t xml:space="preserve">System enova365 posiada w standardzie moduł do wysyłki eDeklaracji. W pierwszym kroku system umożliwia wygenerowanie deklaracji PIT-11. Po ich zatwierdzeniu można wygenerować do nich e-deklaracje, podpisać podpisem elektronicznym i wysłać do Ministerstwa Finansów.</w:t>
      </w:r>
    </w:p>
    <w:p>
      <w:pPr>
        <w:pStyle w:val="Normalny"/>
      </w:pPr>
      <w:r>
        <w:t xml:space="preserve">Istnieje możliwość generowania deklaracji PIT dla wybranej grupy pracowników. Kilka osób może wygenerować deklaracje dla obsługiwanych przez siebie obszarów, a zbiorczo wysłać je może inna osoba. Przed wygenerowaniem deklaracji można również wybrać, kto pojawi się jako osoba podpisująca.</w:t>
      </w:r>
    </w:p>
    <w:p>
      <w:pPr>
        <w:keepNext/>
        <w:jc w:val="center"/>
      </w:pPr>
      <w:r>
        <w:drawing>
          <wp:inline distT="0" distB="0" distL="0" distR="0">
            <wp:extent cx="5732000" cy="3311448"/>
            <wp:docPr id="12" name="Obraz 12" descr="pit_edeklaracj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t_edeklaracja.png"/>
                    <pic:cNvPicPr/>
                  </pic:nvPicPr>
                  <pic:blipFill>
                    <a:blip r:embed="rIdObraz102"/>
                    <a:stretch>
                      <a:fillRect/>
                    </a:stretch>
                  </pic:blipFill>
                  <pic:spPr>
                    <a:xfrm>
                      <a:off x="0" y="0"/>
                      <a:ext cx="5732000" cy="33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Rys. </w:t>
      </w:r>
      <w:r>
        <w:fldChar w:fldCharType="begin" w:dirty="true"/>
      </w:r>
      <w:r>
        <w:instrText xml:space="preserve"> SEQ Rys.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Generowanie e-Deklaracji</w:t>
      </w:r>
    </w:p>
    <w:p>
      <w:pPr>
        <w:pStyle w:val="Normalny"/>
      </w:pPr>
      <w:r>
        <w:t xml:space="preserve">Na podstawie wysłanych deklaracji za pośrednictwem programu zwracane jest UPO, które widnieje też na deklaracji PIT-11.</w:t>
      </w:r>
    </w:p>
    <w:p>
      <w:pPr>
        <w:keepNext/>
        <w:jc w:val="center"/>
      </w:pPr>
      <w:r>
        <w:drawing>
          <wp:inline distT="0" distB="0" distL="0" distR="0">
            <wp:extent cx="5732000" cy="4054145"/>
            <wp:docPr id="13" name="Obraz 13" descr="pit_wydruk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it_wydruk.png"/>
                    <pic:cNvPicPr/>
                  </pic:nvPicPr>
                  <pic:blipFill>
                    <a:blip r:embed="rIdObraz103"/>
                    <a:stretch>
                      <a:fillRect/>
                    </a:stretch>
                  </pic:blipFill>
                  <pic:spPr>
                    <a:xfrm>
                      <a:off x="0" y="0"/>
                      <a:ext cx="5732000" cy="40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Rys. </w:t>
      </w:r>
      <w:r>
        <w:fldChar w:fldCharType="begin" w:dirty="true"/>
      </w:r>
      <w:r>
        <w:instrText xml:space="preserve"> SEQ Rys.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Wydruk PIT-11</w:t>
      </w:r>
    </w:p>
    <w:p>
      <w:pPr>
        <w:pStyle w:val="Normalny"/>
      </w:pPr>
      <w:r>
        <w:t xml:space="preserve">Deklarację można przekazać pracownikowi osobiście lub za pośrednictwem Pulpitu Pracownika. W Pulpicie Pracownika możliwe jest udostępnienie pracownikowi deklaracji podatkowej PIT oraz informacji ZUS IMIR w zakładce Elektroniczna dokumentacja pracownicza/Pozostała dokumentacja za potwierdzeniem odbioru. Deklaracje PIT oraz informacje IMIR mogą zostać również przekazane pracownikom za pośrednictwem wiadomości e-mail.</w:t>
      </w:r>
    </w:p>
    <w:p>
      <w:pPr>
        <w:pStyle w:val="Normalny"/>
      </w:pPr>
      <w:r>
        <w:t xml:space="preserve">Udostępnione dokumenty będą podpisane kwalifikowanym podpisem elektronicznym i dostępne w Pulpicie Pracownika. Pracownik przed wyświetleniem deklaracji lub informacji będzie musiał elektronicznie poświadczyć jej odbiór (polecenie: Potwierdź i wyświetl). Dokument ten zostanie automatycznie wpięty do elektronicznej teczki pracowniczej.</w:t>
      </w:r>
    </w:p>
    <w:p>
      <w:pPr>
        <w:pStyle w:val="Normalny"/>
      </w:pPr>
      <w:r>
        <w:t xml:space="preserve">Operatorzy HR w enova365 widzą zestawienie wysłanych deklaracji. Przy deklaracjach odebranych przez pulpit uzupełnia się data potwierdzenia odbioru, przy nieodebranych nie ma żadnej daty – w łatwy sposób można wyfiltrować osoby, które nie potwierdziły otrzymania PIT-11.</w:t>
      </w:r>
    </w:p>
    <w:p>
      <w:pPr>
        <w:pStyle w:val="Normalny"/>
      </w:pPr>
      <w:r>
        <w:t xml:space="preserve">Sposób przekazywania PIT-11 i IMIR ustalony z Klientem: </w:t>
      </w:r>
      <w:r>
        <w:rPr>
          <w:rStyle w:val="PoledoUzupelnienia"/>
          <w:highlight w:val="yellow"/>
        </w:rPr>
        <w:t xml:space="preserve">[DO UZUPEŁNIENIA: pulpit pracownika za potwierdzeniem odbioru / e-mail / osobiście]</w:t>
      </w:r>
      <w:r>
        <w:t xml:space="preserve">.</w:t>
      </w:r>
    </w:p>
    <w:p>
      <w:pPr>
        <w:pStyle w:val="Nagwek2"/>
      </w:pPr>
      <w:r>
        <w:t xml:space="preserve">Pulpity Pracownika i Kierownika</w:t>
      </w:r>
    </w:p>
    <w:p>
      <w:pPr>
        <w:pStyle w:val="Normalny"/>
      </w:pPr>
      <w:r>
        <w:t xml:space="preserve">Założenia do konfiguracji pulpitów pracownika i kierownika zostały opisane w załączniku nr 5 – Pulpity do analizy przedwdrożeniowej.</w:t>
      </w:r>
    </w:p>
    <w:p>
      <w:pPr>
        <w:pStyle w:val="Nagwek2"/>
      </w:pPr>
      <w:r>
        <w:t xml:space="preserve">Raportowanie HR</w:t>
      </w:r>
    </w:p>
    <w:p>
      <w:pPr>
        <w:pStyle w:val="Nagwek3"/>
      </w:pPr>
      <w:r>
        <w:t xml:space="preserve">Informacje ogólne</w:t>
      </w:r>
    </w:p>
    <w:p>
      <w:pPr>
        <w:pStyle w:val="Normalny"/>
      </w:pPr>
      <w:r>
        <w:t xml:space="preserve">Raporty w systemie enova365 możemy podzielić na:</w:t>
      </w:r>
    </w:p>
    <w:p>
      <w:pPr>
        <w:pStyle w:val="Listapunktowana"/>
      </w:pPr>
      <w:r>
        <w:t xml:space="preserve">Wydruki – wszystkie wydruki do formatu tekstowego, najczęściej kadrowe;</w:t>
      </w:r>
    </w:p>
    <w:p>
      <w:pPr>
        <w:pStyle w:val="Listapunktowana"/>
      </w:pPr>
      <w:r>
        <w:t xml:space="preserve">Raporty – wydruki prezentujące dane płacowe i/lub wyliczane oraz inne zestawienia w formacie xls;</w:t>
      </w:r>
    </w:p>
    <w:p>
      <w:pPr>
        <w:pStyle w:val="Listapunktowana"/>
      </w:pPr>
      <w:r>
        <w:t xml:space="preserve">Widoki – alternatywa dla raportów. enova365 dzięki swojej budowie tabelarycznej umożliwia swobodne modyfikowanie widoku, czyli tzw. „wyciąganie na widok” odpowiednich kolumn (np. PESEL pracownika czy kwota składek z konkretnej wypłaty) i ich eksport do pliku xls.</w:t>
      </w:r>
    </w:p>
    <w:p>
      <w:pPr>
        <w:pStyle w:val="Nagwek3"/>
      </w:pPr>
      <w:r>
        <w:t xml:space="preserve">Raporty i wydruki do przygotowania</w:t>
      </w:r>
    </w:p>
    <w:p>
      <w:pPr>
        <w:pStyle w:val="Normalny"/>
      </w:pPr>
      <w:r>
        <w:t xml:space="preserve">Podczas spotkań analitycznych po stronie Klienta wynikła potrzeba przygotowania lub zmodyfikowania następujących raportów i wydruków. Raporty oraz wydruki zostaną przygotowane zgodnie z przesłanymi i opisanymi wzorami.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541"/>
        <w:gridCol w:w="2527"/>
        <w:gridCol w:w="1444"/>
        <w:gridCol w:w="2708"/>
        <w:gridCol w:w="1805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2527" w:type="dxa"/>
          </w:tcPr>
          <w:p>
            <w:pPr>
              <w:pStyle w:val="Tekstabeli"/>
            </w:pPr>
            <w:r>
              <w:t xml:space="preserve">Raport lub wydruk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Rodzaj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Opis, źródło danych, parametry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Wzór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252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nazwa raportu]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standard / modyfikacja / nowy]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opis]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nazwa przekazanego pliku wzoru]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2527" w:type="dxa"/>
          </w:tcPr>
          <w:p>
            <w:pPr>
              <w:pStyle w:val="Tekstabeli"/>
            </w:pPr>
          </w:p>
        </w:tc>
        <w:tc>
          <w:tcPr>
            <w:tcW w:w="1444" w:type="dxa"/>
          </w:tcPr>
          <w:p>
            <w:pPr>
              <w:pStyle w:val="Tekstabeli"/>
            </w:pP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805" w:type="dxa"/>
          </w:tcPr>
          <w:p>
            <w:pPr>
              <w:pStyle w:val="Tekstabeli"/>
            </w:pP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Raporty i wydruki</w:t>
      </w:r>
    </w:p>
    <w:p>
      <w:pPr>
        <w:pStyle w:val="Nagwek2"/>
      </w:pPr>
      <w:r>
        <w:t xml:space="preserve">Integracje</w:t>
      </w:r>
    </w:p>
    <w:p>
      <w:pPr>
        <w:pStyle w:val="Sekcjaopcjonalna"/>
      </w:pPr>
      <w:r>
        <w:t xml:space="preserve">[SEKCJA OPCJONALNA – usuń, jeśli nie dotyczy]</w:t>
      </w:r>
    </w:p>
    <w:p>
      <w:pPr>
        <w:pStyle w:val="Normalny"/>
      </w:pPr>
      <w:r>
        <w:t xml:space="preserve">Na etapie analizy zidentyfikowano następujące integracje systemu enova365 z systemami zewnętrznymi: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541"/>
        <w:gridCol w:w="1805"/>
        <w:gridCol w:w="1444"/>
        <w:gridCol w:w="1444"/>
        <w:gridCol w:w="3791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System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Kierunek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Tryb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Zakres danych i sposób realizacji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PUE ZUS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import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ręcznie / wg harmonogramu]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Import zwolnień lekarskich – standard enova365 (opis w załączniku nr 3).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Bramka MF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eksport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wg potrzeb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Wysyłka e-Deklaracji – standard enova365.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3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Instytucja finansowa PPK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eksport i import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miesięcznie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Wymiana plików zgłoszeń, składek i identyfikatorów – standard enova365.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4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Bank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eksport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plik / web service]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format pliku przelewów, liczba rachunków]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5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system HR, ERP, RCP lub FK]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kierunek]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tryb]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zakres danych, system wiodący, edytowalność danych w enova365]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Integracje</w:t>
      </w:r>
    </w:p>
    <w:p>
      <w:pPr>
        <w:pStyle w:val="Normalny"/>
      </w:pPr>
      <w:r>
        <w:t xml:space="preserve">Dla integracji dedykowanych zostanie przygotowana odrębna specyfikacja (mapowanie pól, obsługa błędów, harmonogram uruchomienia). </w:t>
      </w:r>
      <w:r>
        <w:rPr>
          <w:rStyle w:val="PoledoUzupelnienia"/>
          <w:highlight w:val="yellow"/>
        </w:rPr>
        <w:t xml:space="preserve">[DO UZUPEŁNIENIA: system wiodący dla danych kadrowych i zasady edycji danych integrowanych w enova365]</w:t>
      </w:r>
    </w:p>
    <w:p>
      <w:pPr>
        <w:pStyle w:val="Nagwek2"/>
      </w:pPr>
      <w:r>
        <w:t xml:space="preserve">Migracja danych kadrowo-płacowych</w:t>
      </w:r>
    </w:p>
    <w:p>
      <w:pPr>
        <w:pStyle w:val="Normalny"/>
      </w:pPr>
      <w:r>
        <w:t xml:space="preserve">Migracja danych zostanie zrealizowana na podstawie arkuszy migracyjnych przygotowanych przez Alt One i uzupełnionych przez Klienta lub na podstawie eksportu z obecnego systemu </w:t>
      </w:r>
      <w:r>
        <w:rPr>
          <w:rStyle w:val="PoledoUzupelnienia"/>
          <w:highlight w:val="yellow"/>
        </w:rPr>
        <w:t xml:space="preserve">[DO UZUPEŁNIENIA: nazwa systemu źródłowego]</w:t>
      </w:r>
      <w:r>
        <w:t xml:space="preserve">. Migracja zostanie przeprowadzona próbnie na bazie testowej, a następnie – po weryfikacji przez Klienta – produkcyjnie na dzień uruchomienia systemu.</w:t>
      </w:r>
    </w:p>
    <w:tbl>
      <w:tblPr>
        <w:tblStyle w:val="ProposalTable"/>
        <w:tblW w:w="9024" w:type="dxa"/>
        <w:tblLayout w:type="fixed"/>
        <w:tblLook w:val="0420" w:firstRow="1" w:lastRow="0" w:firstColumn="0" w:lastColumn="0" w:noHBand="1" w:noVBand="1"/>
      </w:tblPr>
      <w:tblGrid>
        <w:gridCol w:w="541"/>
        <w:gridCol w:w="3249"/>
        <w:gridCol w:w="1624"/>
        <w:gridCol w:w="1805"/>
        <w:gridCol w:w="1805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Zakres danych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Okres lub stan na dzień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Źródło i format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Odpowiedzialny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Kartoteki pracowników i zleceniobiorców (dane osobowe, adresy, dane podatkowe i ubezpieczeniowe, rachunki bankowe, rodzina)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 na dzień]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Klient / Alt One]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Historia zatrudnienia, umowy o pracę i aneksy, dodatki stałe, umowy cywilnoprawne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okres]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3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Struktura organizacyjna i podległościowa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stan na dzień uruchomienia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4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Limity nieobecności, nieobecności do podstaw zasiłków, bilans otwarcia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okres]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5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Wynagrodzenia historyczne do podstaw i deklaracji rocznych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okres]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6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Szkolenia BHP, badania lekarskie, uprawnienia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okres]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7</w:t>
            </w:r>
          </w:p>
        </w:tc>
        <w:tc>
          <w:tcPr>
            <w:tcW w:w="3249" w:type="dxa"/>
          </w:tcPr>
          <w:p>
            <w:pPr>
              <w:pStyle w:val="Tekstabeli"/>
            </w:pPr>
            <w:r>
              <w:t xml:space="preserve">PPK, ZFŚS, PKZP, pożyczki, zajęcia komornicze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 na dzień]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źródło]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odpowiedzialny]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Zakres migracji danych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ustalenia dotyczące liczby migracji próbnych, równoległego naliczania wynagrodzeń i terminu migracji produkcyjnej]</w:t>
      </w:r>
    </w:p>
    <w:p>
      <w:pPr>
        <w:pStyle w:val="Nagwek2"/>
      </w:pPr>
      <w:r>
        <w:t xml:space="preserve">Workflow – wnioski i procesy dedykowane</w:t>
      </w:r>
    </w:p>
    <w:p>
      <w:pPr>
        <w:pStyle w:val="Sekcjaopcjonalna"/>
      </w:pPr>
      <w:r>
        <w:t xml:space="preserve">[SEKCJA OPCJONALNA – usuń, jeśli nie dotyczy]</w:t>
      </w:r>
    </w:p>
    <w:p>
      <w:pPr>
        <w:pStyle w:val="Normalny"/>
      </w:pPr>
      <w:r>
        <w:t xml:space="preserve">Założenia do procesów workflow i wniosków dedykowanych zostały opisane w </w:t>
      </w:r>
      <w:r>
        <w:rPr>
          <w:rStyle w:val="PoledoUzupelnienia"/>
          <w:highlight w:val="yellow"/>
        </w:rPr>
        <w:t xml:space="preserve">[DO UZUPEŁNIENIA: załączniku nr 5 – Pulpity / odrębnym załączniku Workflow]</w:t>
      </w:r>
      <w:r>
        <w:t xml:space="preserve">. Procesy dedykowane objęte wdrożeniem: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nazwa procesu, inicjator, ścieżka akceptacji, skutek w kartotece pracownika]</w:t>
      </w:r>
      <w:r>
        <w:t xml:space="preserve">.</w:t>
      </w:r>
    </w:p>
    <w:p>
      <w:pPr>
        <w:pStyle w:val="Nagwek2"/>
      </w:pPr>
      <w:r>
        <w:t xml:space="preserve">Rozwiązania poza zakresem wdrożenia</w:t>
      </w:r>
    </w:p>
    <w:p>
      <w:pPr>
        <w:pStyle w:val="Normalny"/>
      </w:pPr>
      <w:r>
        <w:t xml:space="preserve">Podczas analizy wyodrębniono zagadnienia, które wykraczają poza zakres funkcjonalności objętych umową wdrożeniową. Rozwiązania te nie wchodzą w zakres wdrożenia – będą przedmiotem odrębnej wyceny i będą realizowane po akceptacji przez Klienta dodatkowych kosztów: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zagadnienie poza zakresem – lub „Nie zidentyfikowano”]</w:t>
      </w:r>
      <w:r>
        <w:t xml:space="preserve">.</w:t>
      </w:r>
    </w:p>
    <w:p>
      <w:pPr>
        <w:pStyle w:val="Normalny"/>
      </w:pPr>
      <w:r>
        <w:t xml:space="preserve">Wymagania ocenione jako niemożliwe do realizacji w systemie enova365: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wymaganie, uzasadnienie, zaproponowane rozwiązanie alternatywne lub zgłoszenie do producenta – lub „Nie zidentyfikowano”]</w:t>
      </w:r>
      <w:r>
        <w:t xml:space="preserve">.</w:t>
      </w:r>
    </w:p>
    <w:p>
      <w:pPr>
        <w:pStyle w:val="Nagwek1"/>
      </w:pPr>
      <w:r>
        <w:t xml:space="preserve">Organizacja projektu</w:t>
      </w:r>
    </w:p>
    <w:p>
      <w:pPr>
        <w:pStyle w:val="Sekcjaopcjonalna"/>
      </w:pPr>
      <w:r>
        <w:t xml:space="preserve">[SEKCJA OPCJONALNA – usuń, jeśli nie dotyczy]</w:t>
      </w:r>
      <w:r>
        <w:t xml:space="preserve"> Rozdział stosowany, gdy umowa wdrożeniowa nie zawiera odrębnego opisu metodyki i organizacji projektu.</w:t>
      </w:r>
    </w:p>
    <w:p>
      <w:pPr>
        <w:pStyle w:val="Nagwek2"/>
      </w:pPr>
      <w:r>
        <w:t xml:space="preserve">Metodyka prowadzenia projektu</w:t>
      </w:r>
    </w:p>
    <w:p>
      <w:pPr>
        <w:pStyle w:val="Normalny"/>
      </w:pPr>
      <w:r>
        <w:t xml:space="preserve">Metodyka prowadzenia projektów została stworzona tak, aby wykorzystać wieloletnie doświadczenie i wiedzę Wykonawcy, a przez to z sukcesem wdrażać system enova365 dostosowany do potrzeb i oczekiwań Klientów. Projekt realizowany jest na bazie technicznych i biznesowych doświadczeń Wykonawcy, co przekłada się na:</w:t>
      </w:r>
    </w:p>
    <w:p>
      <w:pPr>
        <w:pStyle w:val="Listapunktowana"/>
      </w:pPr>
      <w:r>
        <w:t xml:space="preserve">minimalizację ryzyka projektu;</w:t>
      </w:r>
    </w:p>
    <w:p>
      <w:pPr>
        <w:pStyle w:val="Listapunktowana"/>
      </w:pPr>
      <w:r>
        <w:t xml:space="preserve">terminowość wykonania projektu poprzez realizację prac zespołem specjalistów posiadających wieloletnie doświadczenie;</w:t>
      </w:r>
    </w:p>
    <w:p>
      <w:pPr>
        <w:pStyle w:val="Listapunktowana"/>
      </w:pPr>
      <w:r>
        <w:t xml:space="preserve">dostarczenie usług wysokiej jakości.</w:t>
      </w:r>
    </w:p>
    <w:p>
      <w:pPr>
        <w:pStyle w:val="Normalny"/>
      </w:pPr>
      <w:r>
        <w:t xml:space="preserve">Metodyka prowadzenia prac projektowych jest zgodna z praktykami zarządzania projektami informatycznymi.</w:t>
      </w:r>
    </w:p>
    <w:p>
      <w:pPr>
        <w:pStyle w:val="Nagwek2"/>
      </w:pPr>
      <w:r>
        <w:t xml:space="preserve">Role i odpowiedzialność</w:t>
      </w:r>
    </w:p>
    <w:p>
      <w:pPr>
        <w:pStyle w:val="Normalny"/>
      </w:pPr>
      <w:r>
        <w:t xml:space="preserve">Do realizacji prac w projekcie konieczna jest czynna współpraca zespołów wdrożeniowych po obu stronach – Klienta oraz Wykonawcy. Poniżej przedstawiono proponowane role w projekcie.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2166"/>
        <w:gridCol w:w="1263"/>
        <w:gridCol w:w="3791"/>
        <w:gridCol w:w="1805"/>
      </w:tblGrid>
      <w:tr>
        <w:trPr>
          <w:cantSplit/>
          <w:tblHeader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Rola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Strona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Zadania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t xml:space="preserve">Osoba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Komitet Sterujący Projektu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Klient i Wykonawca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Najwyższy organ decyzyjny projektu; zadania określone w Umowie wdrożeniowej; wsparcie Kierowników Projektu.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skład]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Kierownik Projektu Klienta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Klient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Zapewnienie dostępności osób merytorycznych i koordynatora technicznego; identyfikacja problemów i zagrożeń; koordynacja działań; udział w spotkaniach statusowych; podpisywanie protokołów odbioru.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Właściciel biznesowy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Klient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Definiowanie i przekazywanie wymagań w swoim obszarze; udział w spotkaniach merytorycznych; określanie priorytetów; testowanie i zgłoszenie odbioru.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Koordynator techniczny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Klient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Zapewnienie środowiska technicznego i dostępów; wsparcie w przypadku problemów technicznych.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Zespół wdrożeniowy Klienta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Klient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Przekazywanie danych i materiałów; współpraca przy scenariuszach testowych; testowanie wykonanych prac.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osoby]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Kierownik Projektu Wykonawcy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Wykonawca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Planowanie projektu i harmonogram; organizacja dostępów; spotkania statusowe; prowadzenie rejestrów zmian i ryzyk; nadzór nad postępem prac; odbiór prac.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Lider wdrożeniowy obszaru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Wykonawca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Ekspert merytoryczny obszaru; weryfikacja poprawności analizy; podział na etapy; współudział w kosztorysie i harmonogramie.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Konsultanci wdrożeniowi, programiści, administrator IT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Wykonawca</w:t>
            </w:r>
          </w:p>
        </w:tc>
        <w:tc>
          <w:tcPr>
            <w:tcW w:w="3791" w:type="dxa"/>
          </w:tcPr>
          <w:p>
            <w:pPr>
              <w:pStyle w:val="Tekstabeli"/>
            </w:pPr>
            <w:r>
              <w:t xml:space="preserve">Zebranie wymagań i przygotowanie analizy; konfiguracja; rozwiązania dedykowane; testy; szkolenia.</w:t>
            </w:r>
          </w:p>
        </w:tc>
        <w:tc>
          <w:tcPr>
            <w:tcW w:w="180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osoby]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Role w projekcie</w:t>
      </w:r>
    </w:p>
    <w:p>
      <w:pPr>
        <w:pStyle w:val="Nagwek2"/>
      </w:pPr>
      <w:r>
        <w:t xml:space="preserve">Komunikacja w projekcie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2527"/>
        <w:gridCol w:w="6499"/>
      </w:tblGrid>
      <w:tr>
        <w:trPr>
          <w:cantSplit/>
          <w:tblHeader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Element komunikacji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Opis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Komunikacja mailowa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Rekomendujemy utworzenie grupy dystrybucyjnej po każdej ze stron, do której będą przypisane adresy osób zaangażowanych w projekt.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Spotkania statusowe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Spotkania projektowe w formie telekonferencji (MS Teams) w cyklu </w:t>
            </w:r>
            <w:r>
              <w:rPr>
                <w:rStyle w:val="PoledoUzupelnienia"/>
                <w:highlight w:val="yellow"/>
              </w:rPr>
              <w:t xml:space="preserve">[DO UZUPEŁNIENIA: tygodniowym / dwutygodniowym]</w:t>
            </w:r>
            <w:r>
              <w:t xml:space="preserve">. Uczestnicy: Kierownicy Projektu obu stron, Konsultant wdrożeniowy Wykonawcy, Właściciel biznesowy Klienta. Spotkania służą przedstawieniu statusu prac, nie omawianiu kwestii merytorycznych.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Rejestr zadań, uwag, zmian i ryzyk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Wspólna lista zagadnień udostępniona online (Excel lub tablica Kanban na wybranej platformie). Obie strony monitorują i aktualizują statusy zadań; zadania zgłaszane poza tym trybem realizowane są z niższym priorytetem.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Komunikacja w projekcie</w:t>
      </w:r>
    </w:p>
    <w:p>
      <w:pPr>
        <w:pStyle w:val="Nagwek2"/>
      </w:pPr>
      <w:r>
        <w:t xml:space="preserve">Zarządzanie zmianą</w:t>
      </w:r>
    </w:p>
    <w:p>
      <w:pPr>
        <w:pStyle w:val="Normalny"/>
      </w:pPr>
      <w:r>
        <w:t xml:space="preserve">W ramach zarządzania zmianą w projekcie prowadzony będzie rejestr zmian. Zmiany w stosunku do zakresu Umowy mogą dotyczyć zakresu, warunków realizacji prac, ram czasowych oraz budżetu. Zgłoszenie zmiany przysługuje wszystkim osobom zaangażowanym w realizację projektu, a decyzja o jej realizacji podejmowana jest przez Kierowników Projektu obu stron, a w razie braku porozumienia – przez Komitet Sterujący.</w:t>
      </w:r>
    </w:p>
    <w:p>
      <w:pPr>
        <w:pStyle w:val="Normalny"/>
      </w:pPr>
      <w:r>
        <w:t xml:space="preserve">Proces kontroli zmiany obejmuje:</w:t>
      </w:r>
    </w:p>
    <w:p>
      <w:pPr>
        <w:pStyle w:val="Listapunktowana"/>
      </w:pPr>
      <w:r>
        <w:t xml:space="preserve">zidentyfikowanie i zarejestrowanie zgłoszenia zmiany;</w:t>
      </w:r>
    </w:p>
    <w:p>
      <w:pPr>
        <w:pStyle w:val="Listapunktowana"/>
      </w:pPr>
      <w:r>
        <w:t xml:space="preserve">analizę wpływu zmiany na projekt i jej alternatyw;</w:t>
      </w:r>
    </w:p>
    <w:p>
      <w:pPr>
        <w:pStyle w:val="Listapunktowana"/>
      </w:pPr>
      <w:r>
        <w:t xml:space="preserve">decyzję o zatwierdzeniu, odłożeniu lub odrzuceniu zmiany oraz jej zakomunikowanie;</w:t>
      </w:r>
    </w:p>
    <w:p>
      <w:pPr>
        <w:pStyle w:val="Listapunktowana"/>
      </w:pPr>
      <w:r>
        <w:t xml:space="preserve">aktualizację dokumentów projektu (w tym niniejszej analizy) oraz zaplanowanie i wdrożenie zmiany.</w:t>
      </w:r>
    </w:p>
    <w:p>
      <w:pPr>
        <w:pStyle w:val="Nagwek2"/>
      </w:pPr>
      <w:r>
        <w:t xml:space="preserve">Zarządzanie ryzykiem</w:t>
      </w:r>
    </w:p>
    <w:p>
      <w:pPr>
        <w:pStyle w:val="Normalny"/>
      </w:pPr>
      <w:r>
        <w:t xml:space="preserve">Zarządzanie ryzykiem obejmuje identyfikację, analizę i monitorowanie ryzyk z wykorzystaniem rejestru ryzyk (rozdział Pytania otwarte i ryzyka). Stopień wpływu ryzyka oznaczany jest jako:</w:t>
      </w:r>
    </w:p>
    <w:p>
      <w:pPr>
        <w:pStyle w:val="Listapunktowana"/>
      </w:pPr>
      <w:r>
        <w:t xml:space="preserve">wysoki – może spowodować opóźnienie terminu realizacji ścieżki krytycznej;</w:t>
      </w:r>
    </w:p>
    <w:p>
      <w:pPr>
        <w:pStyle w:val="Listapunktowana"/>
      </w:pPr>
      <w:r>
        <w:t xml:space="preserve">średni – może spowodować opóźnienie poszczególnych zadań poza ścieżką krytyczną;</w:t>
      </w:r>
    </w:p>
    <w:p>
      <w:pPr>
        <w:pStyle w:val="Listapunktowana"/>
      </w:pPr>
      <w:r>
        <w:t xml:space="preserve">niski – pozostałe.</w:t>
      </w:r>
    </w:p>
    <w:p>
      <w:pPr>
        <w:pStyle w:val="Normalny"/>
      </w:pPr>
      <w:r>
        <w:t xml:space="preserve">Aktualizacji rejestru ryzyk dokonuje Kierownik Projektu Wykonawcy na podstawie spotkań statusowych i innych posiadanych informacji.</w:t>
      </w:r>
    </w:p>
    <w:p>
      <w:pPr>
        <w:pStyle w:val="Nagwek2"/>
      </w:pPr>
      <w:r>
        <w:t xml:space="preserve">Asysta wdrożeniowa</w:t>
      </w:r>
    </w:p>
    <w:p>
      <w:pPr>
        <w:pStyle w:val="Sekcjaopcjonalna"/>
      </w:pPr>
      <w:r>
        <w:t xml:space="preserve">[SEKCJA OPCJONALNA – usuń, jeśli nie dotyczy]</w:t>
      </w:r>
    </w:p>
    <w:p>
      <w:pPr>
        <w:pStyle w:val="Normalny"/>
      </w:pPr>
      <w:r>
        <w:t xml:space="preserve">Jednym z etapów projektu wdrożenia systemu enova365 jest asysta wdrożeniowa w wymiarze zgodnym z zapisami umowy. Jej celem jest bieżące wsparcie użytkowników Klienta w zakresie obsługi systemu enova365. Prace z budżetu asysty realizowane są na podstawie zgłoszeń mailowych, telefonicznych lub za pomocą rejestru zgłoszeń; przystąpienie do prac poprzedzone jest uzgodnieniem ich zakresu.</w:t>
      </w:r>
    </w:p>
    <w:p>
      <w:pPr>
        <w:pStyle w:val="Normalny"/>
      </w:pPr>
      <w:r>
        <w:t xml:space="preserve">W ramach asysty wdrożeniowej realizowane mogą być m.in.:</w:t>
      </w:r>
    </w:p>
    <w:p>
      <w:pPr>
        <w:pStyle w:val="Listapunktowana"/>
      </w:pPr>
      <w:r>
        <w:t xml:space="preserve">obsługa bieżących zgłoszeń dotyczących pracy w systemie (naliczanie list płac, ewidencja kartotek, generowanie raportów, budowanie widoków itp.);</w:t>
      </w:r>
    </w:p>
    <w:p>
      <w:pPr>
        <w:pStyle w:val="Listapunktowana"/>
      </w:pPr>
      <w:r>
        <w:t xml:space="preserve">wsparcie przy równoległym naliczaniu wynagrodzeń;</w:t>
      </w:r>
    </w:p>
    <w:p>
      <w:pPr>
        <w:pStyle w:val="Listapunktowana"/>
      </w:pPr>
      <w:r>
        <w:t xml:space="preserve">weryfikacja i korekta nieprawidłowości we wprowadzonych danych;</w:t>
      </w:r>
    </w:p>
    <w:p>
      <w:pPr>
        <w:pStyle w:val="Listapunktowana"/>
      </w:pPr>
      <w:r>
        <w:t xml:space="preserve">zakładanie kont dla nowych operatorów oraz modyfikacja uprawnień;</w:t>
      </w:r>
    </w:p>
    <w:p>
      <w:pPr>
        <w:pStyle w:val="Listapunktowana"/>
      </w:pPr>
      <w:r>
        <w:t xml:space="preserve">modyfikacja elementów konfiguracji nieujętych w analizie oraz dodatkowe migracje danych;</w:t>
      </w:r>
    </w:p>
    <w:p>
      <w:pPr>
        <w:pStyle w:val="Listapunktowana"/>
      </w:pPr>
      <w:r>
        <w:t xml:space="preserve">wsparcie przy testach oraz dodatkowe szkolenia i instrukcje;</w:t>
      </w:r>
    </w:p>
    <w:p>
      <w:pPr>
        <w:pStyle w:val="Listapunktowana"/>
      </w:pPr>
      <w:r>
        <w:t xml:space="preserve">obsługa zgłoszeń przekazanych do producenta systemu;</w:t>
      </w:r>
    </w:p>
    <w:p>
      <w:pPr>
        <w:pStyle w:val="Listapunktowana"/>
      </w:pPr>
      <w:r>
        <w:t xml:space="preserve">prace związane z aktualizacją systemu.</w:t>
      </w:r>
    </w:p>
    <w:p>
      <w:pPr>
        <w:pStyle w:val="Nagwek2"/>
      </w:pPr>
      <w:r>
        <w:t xml:space="preserve">Wymagania techniczne i dostępy</w:t>
      </w:r>
    </w:p>
    <w:p>
      <w:pPr>
        <w:pStyle w:val="Sekcjaopcjonalna"/>
      </w:pPr>
      <w:r>
        <w:t xml:space="preserve">[SEKCJA OPCJONALNA – usuń, jeśli nie dotyczy]</w:t>
      </w:r>
    </w:p>
    <w:p>
      <w:pPr>
        <w:pStyle w:val="Nagwek3"/>
      </w:pPr>
      <w:r>
        <w:t xml:space="preserve">Środowisko po stronie Klienta</w:t>
      </w:r>
    </w:p>
    <w:p>
      <w:pPr>
        <w:pStyle w:val="Normalny"/>
      </w:pPr>
      <w:r>
        <w:t xml:space="preserve">Parametry serwerów (SQL, serwer aplikacji, serwer web dla pulpitów) zostaną dobrane zgodnie z aktualnymi wymaganiami producenta dla liczby użytkowników: </w:t>
      </w:r>
      <w:r>
        <w:rPr>
          <w:rStyle w:val="PoledoUzupelnienia"/>
          <w:highlight w:val="yellow"/>
        </w:rPr>
        <w:t xml:space="preserve">[DO UZUPEŁNIENIA: parametry środowiska uzgodnione z działem IT Klienta]</w:t>
      </w:r>
      <w:r>
        <w:t xml:space="preserve">.</w:t>
      </w:r>
    </w:p>
    <w:p>
      <w:pPr>
        <w:pStyle w:val="Normalny"/>
      </w:pPr>
      <w:r>
        <w:t xml:space="preserve">Po stronie Klienta w zakresie zarządzania środowiskiem testowym oraz produkcyjnym leżą:</w:t>
      </w:r>
    </w:p>
    <w:p>
      <w:pPr>
        <w:pStyle w:val="Listapunktowana"/>
      </w:pPr>
      <w:r>
        <w:t xml:space="preserve">instalacja aktualizacji systemu operacyjnego;</w:t>
      </w:r>
    </w:p>
    <w:p>
      <w:pPr>
        <w:pStyle w:val="Listapunktowana"/>
      </w:pPr>
      <w:r>
        <w:t xml:space="preserve">instalacja SQL i wgrywanie aktualizacji;</w:t>
      </w:r>
    </w:p>
    <w:p>
      <w:pPr>
        <w:pStyle w:val="Listapunktowana"/>
      </w:pPr>
      <w:r>
        <w:t xml:space="preserve">wdrożenie polityki bezpieczeństwa, m.in. kopie zapasowe, redundancja, certyfikaty bezpieczeństwa.</w:t>
      </w:r>
    </w:p>
    <w:p>
      <w:pPr>
        <w:pStyle w:val="Normalny"/>
      </w:pPr>
      <w:r>
        <w:t xml:space="preserve">Dodatkowe wsparcie ze strony Wykonawcy może być realizowane w ramach godzin asysty lub rezerwy projektu. Sugerujemy, aby po etapie wdrożenia utworzone zostało środowisko testowe będące kopią środowiska produkcyjnego.</w:t>
      </w:r>
    </w:p>
    <w:p>
      <w:pPr>
        <w:pStyle w:val="Nagwek3"/>
      </w:pPr>
      <w:r>
        <w:t xml:space="preserve">Dostępy dla konsultantów Alt One</w:t>
      </w:r>
    </w:p>
    <w:p>
      <w:pPr>
        <w:pStyle w:val="Normalny"/>
      </w:pPr>
      <w:r>
        <w:t xml:space="preserve">Na potrzeby realizacji wdrożenia wymagane są:</w:t>
      </w:r>
    </w:p>
    <w:p>
      <w:pPr>
        <w:pStyle w:val="Listapunktowana"/>
      </w:pPr>
      <w:r>
        <w:t xml:space="preserve">co najmniej </w:t>
      </w:r>
      <w:r>
        <w:rPr>
          <w:rStyle w:val="PoledoUzupelnienia"/>
          <w:highlight w:val="yellow"/>
        </w:rPr>
        <w:t xml:space="preserve">[DO UZUPEŁNIENIA: liczba]</w:t>
      </w:r>
      <w:r>
        <w:t xml:space="preserve"> jednoczesnych dostępów dla zespołu wdrożeniowego i programistycznego;</w:t>
      </w:r>
    </w:p>
    <w:p>
      <w:pPr>
        <w:pStyle w:val="Listapunktowana"/>
      </w:pPr>
      <w:r>
        <w:t xml:space="preserve">dostęp zdalny do środowiska produkcyjnego oraz testowego;</w:t>
      </w:r>
    </w:p>
    <w:p>
      <w:pPr>
        <w:pStyle w:val="Listapunktowana"/>
      </w:pPr>
      <w:r>
        <w:t xml:space="preserve">uprawnienia administracyjne do instalacji i konfiguracji enova365;</w:t>
      </w:r>
    </w:p>
    <w:p>
      <w:pPr>
        <w:pStyle w:val="Listapunktowana"/>
      </w:pPr>
      <w:r>
        <w:t xml:space="preserve">uprawnienia na serwerze SQL: </w:t>
      </w:r>
      <w:r>
        <w:rPr>
          <w:rStyle w:val="PoledoUzupelnienia"/>
          <w:highlight w:val="yellow"/>
        </w:rPr>
        <w:t xml:space="preserve">[DO UZUPEŁNIENIA: db_owner dla baz enova365 / sysadmin]</w:t>
      </w:r>
      <w:r>
        <w:t xml:space="preserve">;</w:t>
      </w:r>
    </w:p>
    <w:p>
      <w:pPr>
        <w:pStyle w:val="Listapunktowana"/>
      </w:pPr>
      <w:r>
        <w:t xml:space="preserve">pakiet MS Office (minimum w wersji 2016) na serwerze dostępowym – wykorzystywany m.in. do migracji danych z arkuszy Excel i weryfikacji raportów.</w:t>
      </w:r>
    </w:p>
    <w:p>
      <w:pPr>
        <w:pStyle w:val="Nagwek1"/>
      </w:pPr>
      <w:r>
        <w:t xml:space="preserve">Pytania otwarte i ryzyka</w:t>
      </w:r>
    </w:p>
    <w:p>
      <w:pPr>
        <w:pStyle w:val="Nagwek2"/>
      </w:pPr>
      <w:r>
        <w:t xml:space="preserve">Pytania otwarte</w:t>
      </w:r>
    </w:p>
    <w:p>
      <w:pPr>
        <w:pStyle w:val="Normalny"/>
      </w:pPr>
      <w:r>
        <w:t xml:space="preserve">Poniżej zestawiono informacje, których nie udało się ustalić w trakcie spotkań analitycznych. Do czasu ich wyjaśnienia rozwiązania w powiązanych sekcjach mają charakter wstępny. Pytania dotyczące poszczególnych obszarów znajdują się również w załącznikach.</w:t>
      </w:r>
    </w:p>
    <w:tbl>
      <w:tblPr>
        <w:tblStyle w:val="ProposalTable"/>
        <w:tblW w:w="9024" w:type="dxa"/>
        <w:tblLayout w:type="fixed"/>
        <w:tblLook w:val="0420" w:firstRow="1" w:lastRow="0" w:firstColumn="0" w:lastColumn="0" w:noHBand="1" w:noVBand="1"/>
      </w:tblPr>
      <w:tblGrid>
        <w:gridCol w:w="451"/>
        <w:gridCol w:w="3339"/>
        <w:gridCol w:w="1083"/>
        <w:gridCol w:w="1444"/>
        <w:gridCol w:w="1083"/>
        <w:gridCol w:w="1624"/>
      </w:tblGrid>
      <w:tr>
        <w:trPr>
          <w:cantSplit/>
          <w:tblHeader/>
        </w:trPr>
        <w:tc>
          <w:tcPr>
            <w:tcW w:w="45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3339" w:type="dxa"/>
          </w:tcPr>
          <w:p>
            <w:pPr>
              <w:pStyle w:val="Tekstabeli"/>
            </w:pPr>
            <w:r>
              <w:t xml:space="preserve">Pytanie lub brakująca informacja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Sekcja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Odpowiedzialny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Termin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333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treść pytania]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nr sekcji]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Klient / Alt One]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Pytania otwarte</w:t>
      </w:r>
    </w:p>
    <w:p>
      <w:pPr>
        <w:pStyle w:val="Normalny"/>
      </w:pPr>
      <w:r>
        <w:t xml:space="preserve">Statusy pytań: Otwarte, W trakcie, Wyjaśnione (z odesłaniem do sekcji, w której wpisano ustalenie), Poza zakresem.</w:t>
      </w:r>
    </w:p>
    <w:p>
      <w:pPr>
        <w:pStyle w:val="Nagwek2"/>
      </w:pPr>
      <w:r>
        <w:t xml:space="preserve">Ryzyka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51"/>
        <w:gridCol w:w="3159"/>
        <w:gridCol w:w="1083"/>
        <w:gridCol w:w="2708"/>
        <w:gridCol w:w="1624"/>
      </w:tblGrid>
      <w:tr>
        <w:trPr>
          <w:cantSplit/>
          <w:tblHeader/>
        </w:trPr>
        <w:tc>
          <w:tcPr>
            <w:tcW w:w="45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3159" w:type="dxa"/>
          </w:tcPr>
          <w:p>
            <w:pPr>
              <w:pStyle w:val="Tekstabeli"/>
            </w:pPr>
            <w:r>
              <w:t xml:space="preserve">Ryzyko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Wpływ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Działanie zapobiegawcze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Właściciel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3159" w:type="dxa"/>
          </w:tcPr>
          <w:p>
            <w:pPr>
              <w:pStyle w:val="Tekstabeli"/>
            </w:pPr>
            <w:r>
              <w:t xml:space="preserve">Opóźnienie w przekazaniu danych do migracji lub wzorów raportów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średni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Ustalenie terminów w harmonogramie, wczesne przekazanie arkuszy migracyjnych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3159" w:type="dxa"/>
          </w:tcPr>
          <w:p>
            <w:pPr>
              <w:pStyle w:val="Tekstabeli"/>
            </w:pPr>
            <w:r>
              <w:t xml:space="preserve">Ograniczona dostępność osób merytorycznych po stronie Klienta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wysoki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Wyznaczenie Właścicieli biznesowych i ich zastępców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pStyle w:val="Tekstabeli"/>
            </w:pPr>
            <w:r>
              <w:t xml:space="preserve">3</w:t>
            </w:r>
          </w:p>
        </w:tc>
        <w:tc>
          <w:tcPr>
            <w:tcW w:w="315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ryzyko specyficzne dla projektu, np. zależność od integracji, rozwiązania dedykowane, zmiany przepisów]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wysoki / średni / niski]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działanie]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właściciel]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Rejestr ryzyk</w:t>
      </w:r>
    </w:p>
    <w:p>
      <w:pPr>
        <w:pStyle w:val="Nagwek1"/>
      </w:pPr>
      <w:r>
        <w:t xml:space="preserve">Harmonogram i odpowiedzialności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541"/>
        <w:gridCol w:w="2347"/>
        <w:gridCol w:w="3069"/>
        <w:gridCol w:w="1444"/>
        <w:gridCol w:w="1624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Etap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Zakres lub produkt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t xml:space="preserve">Termin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Odpowiedzialny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Analiza przedwdrożeniowa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Akceptacja niniejszego dokumentu i załączników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Klient, 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Konfiguracja systemu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Konfiguracja według analizy, rozwiązania dedykowane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3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Migracja danych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Migracja próbna, weryfikacja danych, migracja produkcyjna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Klient, 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4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Szkolenia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Szkolenia operatorów i użytkowników pulpitów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5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Testy i odbiór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Testy według scenariuszy testowych, protokoły odbioru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6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Równoległe naliczanie wynagrodzeń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liczba miesięcy naliczeń równoległych]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Klient, 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7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Uruchomienie produkcyjne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Rozpoczęcie pracy w enova365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 uruchomienia]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Klient, Alt One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8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Asysta powdrożeniowa</w:t>
            </w:r>
          </w:p>
        </w:tc>
        <w:tc>
          <w:tcPr>
            <w:tcW w:w="3069" w:type="dxa"/>
          </w:tcPr>
          <w:p>
            <w:pPr>
              <w:pStyle w:val="Tekstabeli"/>
            </w:pPr>
            <w:r>
              <w:t xml:space="preserve">Wsparcie zgodnie z umową</w:t>
            </w:r>
          </w:p>
        </w:tc>
        <w:tc>
          <w:tcPr>
            <w:tcW w:w="144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okres]</w:t>
            </w:r>
          </w:p>
        </w:tc>
        <w:tc>
          <w:tcPr>
            <w:tcW w:w="1624" w:type="dxa"/>
          </w:tcPr>
          <w:p>
            <w:pPr>
              <w:pStyle w:val="Tekstabeli"/>
            </w:pPr>
            <w:r>
              <w:t xml:space="preserve">Alt One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Harmonogram projektu</w:t>
      </w:r>
    </w:p>
    <w:p>
      <w:pPr>
        <w:pStyle w:val="Normalny"/>
      </w:pPr>
      <w:r>
        <w:t xml:space="preserve">Szczegółowy harmonogram prac zostanie uzgodniony przez Kierowników Projektu obu stron i będzie aktualizowany w trakcie projektu.</w:t>
      </w:r>
    </w:p>
    <w:p>
      <w:pPr>
        <w:pStyle w:val="Nagwek1"/>
      </w:pPr>
      <w:r>
        <w:t xml:space="preserve">Dokumentacja systemu</w:t>
      </w:r>
    </w:p>
    <w:p>
      <w:pPr>
        <w:pStyle w:val="Normalny"/>
      </w:pPr>
      <w:r>
        <w:t xml:space="preserve">Dokumentacja systemu dla dedykowanych rozwiązań zostanie dostarczona Klientowi do dnia wskazanego w harmonogramie prac. Dokumentacja systemu dla standardowych rozwiązań znajduje się pod poniższym linkiem:</w:t>
      </w:r>
    </w:p>
    <w:p>
      <w:pPr>
        <w:pStyle w:val="Listapunktowana"/>
      </w:pPr>
      <w:r>
        <w:t xml:space="preserve">https://dok.enova.pl/</w:t>
      </w:r>
    </w:p>
    <w:p>
      <w:pPr>
        <w:pStyle w:val="Nagwek1"/>
      </w:pPr>
      <w:r>
        <w:t xml:space="preserve">Pozostałe wymagania</w:t>
      </w:r>
    </w:p>
    <w:p>
      <w:pPr>
        <w:pStyle w:val="Normalny"/>
      </w:pPr>
      <w:r>
        <w:t xml:space="preserve">Na potrzeby realizacji projektu zdefiniowane zostały następujące wymagania, których spełnienie jest niezbędne do właściwej realizacji projektu:</w:t>
      </w:r>
    </w:p>
    <w:p>
      <w:pPr>
        <w:pStyle w:val="Listapunktowana"/>
      </w:pPr>
      <w:r>
        <w:t xml:space="preserve">zaangażowanie pracowników merytorycznych po stronie Klienta;</w:t>
      </w:r>
    </w:p>
    <w:p>
      <w:pPr>
        <w:pStyle w:val="Listapunktowana"/>
      </w:pPr>
      <w:r>
        <w:t xml:space="preserve">udostępnienie dotychczasowych danych w celu ich zmigrowania do systemu enova365;</w:t>
      </w:r>
    </w:p>
    <w:p>
      <w:pPr>
        <w:pStyle w:val="Listapunktowana"/>
      </w:pPr>
      <w:r>
        <w:t xml:space="preserve">udostępnienie szablonów dokumentów dla wszystkich wydruków i raportów, które miałyby być zmodyfikowane w stosunku do standardowych raportów systemowych;</w:t>
      </w:r>
    </w:p>
    <w:p>
      <w:pPr>
        <w:pStyle w:val="Listapunktowana"/>
      </w:pPr>
      <w:r>
        <w:rPr>
          <w:rStyle w:val="PoledoUzupelnienia"/>
          <w:highlight w:val="yellow"/>
        </w:rPr>
        <w:t xml:space="preserve">[DO UZUPEŁNIENIA: inne wymagania wobec Klienta – lub usuń]</w:t>
      </w:r>
      <w:r>
        <w:t xml:space="preserve">.</w:t>
      </w:r>
    </w:p>
    <w:p>
      <w:pPr>
        <w:pStyle w:val="Nagwek1"/>
      </w:pPr>
      <w:r>
        <w:t xml:space="preserve">Postanowienia końcowe</w:t>
      </w:r>
    </w:p>
    <w:p>
      <w:pPr>
        <w:pStyle w:val="Listapunktowana"/>
      </w:pPr>
      <w:r>
        <w:t xml:space="preserve">Wymagania, które nie zostały zgłoszone przez Klienta podczas omawiania i sporządzania niniejszej analizy i nie zostały zawarte w niniejszym dokumencie, nie będą realizowane w ramach wdrożenia.</w:t>
      </w:r>
    </w:p>
    <w:p>
      <w:pPr>
        <w:pStyle w:val="Listapunktowana"/>
      </w:pPr>
      <w:r>
        <w:t xml:space="preserve">Zidentyfikowane kwestie niezawarte w niniejszej analizie będą uzgadniane pomiędzy stronami odrębnie w zakresie terminu wdrożenia i wyceny.</w:t>
      </w:r>
    </w:p>
    <w:p>
      <w:pPr>
        <w:pStyle w:val="Listapunktowana"/>
      </w:pPr>
      <w:r>
        <w:t xml:space="preserve">W ramach umowy wdrożeniowej zostaną dostarczone scenariusze testowe opisane w niniejszej analizie. Rozszerzenie zakresu i przygotowanie większej liczby scenariuszy testowych będzie wymagało oddzielnej wyceny i zamówienia.</w:t>
      </w:r>
    </w:p>
    <w:p>
      <w:pPr>
        <w:pStyle w:val="Nagwek1"/>
      </w:pPr>
      <w:r>
        <w:t xml:space="preserve">Wykaz załączników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722"/>
        <w:gridCol w:w="3610"/>
        <w:gridCol w:w="4694"/>
      </w:tblGrid>
      <w:tr>
        <w:trPr>
          <w:cantSplit/>
          <w:tblHeader/>
        </w:trPr>
        <w:tc>
          <w:tcPr>
            <w:tcW w:w="722" w:type="dxa"/>
          </w:tcPr>
          <w:p>
            <w:pPr>
              <w:pStyle w:val="Tekstabeli"/>
            </w:pPr>
            <w:r>
              <w:t xml:space="preserve">Nr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Załącznik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t xml:space="preserve">Plik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Kadry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t xml:space="preserve">Analiza_</w:t>
            </w:r>
            <w:r>
              <w:rPr>
                <w:rStyle w:val="PoledoUzupelnienia"/>
                <w:highlight w:val="yellow"/>
              </w:rPr>
              <w:t xml:space="preserve">[DO UZUPEŁNIENIA: nazwa klienta]</w:t>
            </w:r>
            <w:r>
              <w:t xml:space="preserve">_ZAL_01_Kadry_vX.Y.docx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2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Kalendarze i ewidencja czasu pracy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t xml:space="preserve">Analiza_</w:t>
            </w:r>
            <w:r>
              <w:rPr>
                <w:rStyle w:val="PoledoUzupelnienia"/>
                <w:highlight w:val="yellow"/>
              </w:rPr>
              <w:t xml:space="preserve">[DO UZUPEŁNIENIA: nazwa klienta]</w:t>
            </w:r>
            <w:r>
              <w:t xml:space="preserve">_ZAL_02_Czas_pracy_vX.Y.docx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3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Płace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t xml:space="preserve">Analiza_</w:t>
            </w:r>
            <w:r>
              <w:rPr>
                <w:rStyle w:val="PoledoUzupelnienia"/>
                <w:highlight w:val="yellow"/>
              </w:rPr>
              <w:t xml:space="preserve">[DO UZUPEŁNIENIA: nazwa klienta]</w:t>
            </w:r>
            <w:r>
              <w:t xml:space="preserve">_ZAL_03_Place_vX.Y.docx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4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Podzielnik kosztów i księgowanie (poza zakresem Kadr i Płac)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nazwa pliku – lub usuń wiersz]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5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Pulpity Pracownika i Kierownika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t xml:space="preserve">Analiza_</w:t>
            </w:r>
            <w:r>
              <w:rPr>
                <w:rStyle w:val="PoledoUzupelnienia"/>
                <w:highlight w:val="yellow"/>
              </w:rPr>
              <w:t xml:space="preserve">[DO UZUPEŁNIENIA: nazwa klienta]</w:t>
            </w:r>
            <w:r>
              <w:t xml:space="preserve">_ZAL_05_Pulpity_vX.Y.docx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pStyle w:val="Tekstabeli"/>
            </w:pPr>
            <w:r>
              <w:t xml:space="preserve">–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Pliki uzupełniane przez Klienta</w:t>
            </w:r>
          </w:p>
        </w:tc>
        <w:tc>
          <w:tcPr>
            <w:tcW w:w="4694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specyfikacja konfiguracyjna, operatorzy i uprawnienia, struktura podległości, wnioski w pulpitach, składniki płacowe, scenariusze testowe]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Wykaz załączników</w:t>
      </w:r>
    </w:p>
    <w:p>
      <w:pPr>
        <w:pStyle w:val="Nagwek1"/>
      </w:pPr>
      <w:r>
        <w:t xml:space="preserve">Wykaz tabel i rysunków</w:t>
      </w:r>
    </w:p>
    <w:p>
      <w:pPr>
        <w:pStyle w:val="Spisilustracji"/>
      </w:pPr>
      <w:r>
        <w:fldChar w:fldCharType="begin" w:dirty="true"/>
      </w:r>
      <w:r>
        <w:instrText xml:space="preserve"> TOC \h \z \c "Tabela" </w:instrText>
      </w:r>
      <w:r>
        <w:fldChar w:fldCharType="separate"/>
      </w:r>
      <w:r>
        <w:t xml:space="preserve">Wykaz tabel – zaktualizuj pole (F9).</w:t>
      </w:r>
      <w:r>
        <w:fldChar w:fldCharType="end"/>
      </w:r>
    </w:p>
    <w:p>
      <w:pPr>
        <w:pStyle w:val="Spisilustracji"/>
      </w:pPr>
      <w:r>
        <w:fldChar w:fldCharType="begin" w:dirty="true"/>
      </w:r>
      <w:r>
        <w:instrText xml:space="preserve"> TOC \h \z \c "Rys." </w:instrText>
      </w:r>
      <w:r>
        <w:fldChar w:fldCharType="separate"/>
      </w:r>
      <w:r>
        <w:t xml:space="preserve">Wykaz rysunków – zaktualizuj pole (F9).</w:t>
      </w:r>
      <w:r>
        <w:fldChar w:fldCharType="end"/>
      </w:r>
    </w:p>
    <w:p>
      <w:pPr>
        <w:pStyle w:val="Nagwek1"/>
      </w:pPr>
      <w:r>
        <w:t xml:space="preserve">Akceptacja dokumentu</w:t>
      </w:r>
    </w:p>
    <w:p>
      <w:pPr>
        <w:pStyle w:val="Normalny"/>
      </w:pPr>
      <w:r>
        <w:t xml:space="preserve">Akceptacja dokumentu oznacza potwierdzenie przez strony zakresu i sposobu realizacji wymagań opisanych w niniejszej analizie wraz z załącznikami.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2166"/>
        <w:gridCol w:w="3430"/>
        <w:gridCol w:w="3430"/>
      </w:tblGrid>
      <w:tr>
        <w:trPr>
          <w:cantSplit/>
          <w:tblHeader/>
        </w:trPr>
        <w:tc>
          <w:tcPr>
            <w:tcW w:w="2166" w:type="dxa"/>
          </w:tcPr>
          <w:p>
            <w:pPr>
              <w:pStyle w:val="Tekstabeli"/>
            </w:pPr>
          </w:p>
        </w:tc>
        <w:tc>
          <w:tcPr>
            <w:tcW w:w="3430" w:type="dxa"/>
          </w:tcPr>
          <w:p>
            <w:pPr>
              <w:pStyle w:val="Tekstabeli"/>
            </w:pPr>
            <w:r>
              <w:t xml:space="preserve">Zamawiający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t xml:space="preserve">Wykonawca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Nazwa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nazwa klienta]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t xml:space="preserve">Alt One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Imię i nazwisko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 akceptująca po stronie Klienta]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osoba akceptująca po stronie Wykonawcy]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Stanowisko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stanowisko]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stanowisko]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Wersja dokumentu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akceptowana wersja X.Y]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akceptowana wersja X.Y]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Data akceptacji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data]</w:t>
            </w:r>
          </w:p>
        </w:tc>
        <w:tc>
          <w:tcPr>
            <w:tcW w:w="343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data]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pStyle w:val="Tekstabeli"/>
            </w:pPr>
            <w:r>
              <w:t xml:space="preserve">Podpis</w:t>
            </w:r>
          </w:p>
        </w:tc>
        <w:tc>
          <w:tcPr>
            <w:tcW w:w="3430" w:type="dxa"/>
          </w:tcPr>
          <w:p>
            <w:pPr>
              <w:pStyle w:val="Tekstabeli"/>
            </w:pPr>
          </w:p>
          <w:p>
            <w:pPr>
              <w:pStyle w:val="Tekstabeli"/>
            </w:pPr>
          </w:p>
          <w:p>
            <w:pPr>
              <w:pStyle w:val="Tekstabeli"/>
            </w:pPr>
          </w:p>
        </w:tc>
        <w:tc>
          <w:tcPr>
            <w:tcW w:w="3430" w:type="dxa"/>
          </w:tcPr>
          <w:p>
            <w:pPr>
              <w:pStyle w:val="Tekstabeli"/>
            </w:pPr>
          </w:p>
          <w:p>
            <w:pPr>
              <w:pStyle w:val="Tekstabeli"/>
            </w:pPr>
          </w:p>
          <w:p>
            <w:pPr>
              <w:pStyle w:val="Tekstabeli"/>
            </w:pP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 Akceptacja dokumentu</w:t>
      </w:r>
    </w:p>
    <w:p>
      <w:pPr>
        <w:pStyle w:val="Nagwek1"/>
      </w:pPr>
      <w:r>
        <w:t xml:space="preserve">Kontakt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Kierownik projektu]</w:t>
      </w:r>
    </w:p>
    <w:p>
      <w:pPr>
        <w:pStyle w:val="Bezodstpw"/>
      </w:pPr>
      <w:r>
        <w:t xml:space="preserve">Kierownik projektu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Konsultant wdrożeniowy – Kadry i Płace]</w:t>
      </w:r>
    </w:p>
    <w:p>
      <w:pPr>
        <w:pStyle w:val="Bezodstpw"/>
      </w:pPr>
      <w:r>
        <w:t xml:space="preserve">Konsultant wdrożeniowy – Kadry i Płace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Konsultant wdrożeniowy – Czas pracy i Pulpity]</w:t>
      </w:r>
    </w:p>
    <w:p>
      <w:pPr>
        <w:pStyle w:val="Bezodstpw"/>
      </w:pPr>
      <w:r>
        <w:t xml:space="preserve">Konsultant wdrożeniowy – Czas pracy i Pulpity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240"/>
      </w:pPr>
      <w:r>
        <w:t xml:space="preserve">Alt One, </w:t>
      </w:r>
      <w:r>
        <w:rPr>
          <w:rStyle w:val="PoledoUzupelnienia"/>
          <w:highlight w:val="yellow"/>
        </w:rPr>
        <w:t xml:space="preserve">[DO UZUPEŁNIENIA: adres siedziby wykonawcy]</w:t>
      </w:r>
    </w:p>
    <w:p>
      <w:pPr>
        <w:pStyle w:val="Bezodstpw"/>
      </w:pPr>
      <w:r>
        <w:t xml:space="preserve">tel. </w:t>
      </w:r>
      <w:r>
        <w:rPr>
          <w:rStyle w:val="PoledoUzupelnienia"/>
          <w:highlight w:val="yellow"/>
        </w:rPr>
        <w:t xml:space="preserve">[DO UZUPEŁNIENIA: telefon centrali]</w:t>
      </w:r>
      <w:r>
        <w:t xml:space="preserve">, </w:t>
      </w:r>
      <w:r>
        <w:rPr>
          <w:rStyle w:val="PoledoUzupelnienia"/>
          <w:highlight w:val="yellow"/>
        </w:rPr>
        <w:t xml:space="preserve">[DO UZUPEŁNIENIA: adres www i e-mail wykonawcy]</w:t>
      </w:r>
    </w:p>
    <w:p>
      <w:pPr>
        <w:spacing w:before="240"/>
      </w:pPr>
      <w:r>
        <w:drawing>
          <wp:inline distT="0" distB="0" distL="0" distR="0">
            <wp:extent cx="1620000" cy="565369"/>
            <wp:docPr id="14" name="Obraz 14" descr="partner_enova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partner_enova365.png"/>
                    <pic:cNvPicPr/>
                  </pic:nvPicPr>
                  <pic:blipFill>
                    <a:blip r:embed="rIdObraz10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Naglowek"/>
      <w:footerReference w:type="default" r:id="rIdStopka"/>
      <w:pgSz w:w="11907" w:h="16839" w:code="9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Stopka0"/>
      <w:jc w:val="right"/>
    </w:pPr>
    <w:r>
      <w:t xml:space="preserve">Strona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>
    <w:pPr>
      <w:spacing w:line="240" w:lineRule="auto"/>
      <w:jc w:val="left"/>
    </w:pPr>
    <w:r>
      <w:rPr>
        <w:color w:val="5E5E5E"/>
        <w:sz w:val="18"/>
      </w:rPr>
      <w:t>system enova365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  <w:jc w:val="right"/>
    </w:pPr>
    <w:r>
      <w:drawing>
        <wp:inline distT="0" distB="0" distL="0" distR="0">
          <wp:extent cx="1260000" cy="278419"/>
          <wp:docPr id="10" name="Obraz 10" descr="logo_wykonawcy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logo_wykonawcy.png"/>
                  <pic:cNvPicPr/>
                </pic:nvPicPr>
                <pic:blipFill>
                  <a:blip r:embed="rIdObraz100"/>
                  <a:stretch>
                    <a:fillRect/>
                  </a:stretch>
                </pic:blipFill>
                <pic:spPr>
                  <a:xfrm>
                    <a:off x="0" y="0"/>
                    <a:ext cx="1260000" cy="278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Nagwek1"/>
      <w:lvlText w:val="%1."/>
      <w:lvlJc w:val="left"/>
      <w:pPr>
        <w:ind w:left="567" w:hanging="567"/>
      </w:pPr>
    </w:lvl>
    <w:lvl w:ilvl="1">
      <w:start w:val="1"/>
      <w:numFmt w:val="decimal"/>
      <w:pStyle w:val="Nagwek2"/>
      <w:lvlText w:val="%1.%2."/>
      <w:lvlJc w:val="left"/>
      <w:pPr>
        <w:ind w:left="709" w:hanging="709"/>
      </w:pPr>
    </w:lvl>
    <w:lvl w:ilvl="2">
      <w:start w:val="1"/>
      <w:numFmt w:val="decimal"/>
      <w:pStyle w:val="Nagwek3"/>
      <w:lvlText w:val="%1.%2.%3."/>
      <w:lvlJc w:val="left"/>
      <w:pPr>
        <w:ind w:left="851" w:hanging="851"/>
      </w:pPr>
    </w:lvl>
    <w:lvl w:ilvl="3">
      <w:start w:val="1"/>
      <w:numFmt w:val="decimal"/>
      <w:pStyle w:val="Nagwek4"/>
      <w:lvlText w:val="%1.%2.%3.%4."/>
      <w:lvlJc w:val="left"/>
      <w:pPr>
        <w:ind w:left="992" w:hanging="992"/>
      </w:pPr>
    </w:lvl>
    <w:lvl w:ilvl="4">
      <w:start w:val="1"/>
      <w:numFmt w:val="decimal"/>
      <w:lvlText w:val="%5."/>
      <w:lvlJc w:val="left"/>
      <w:pPr>
        <w:ind w:left="1134" w:hanging="1134"/>
      </w:pPr>
    </w:lvl>
    <w:lvl w:ilvl="5">
      <w:start w:val="1"/>
      <w:numFmt w:val="decimal"/>
      <w:lvlText w:val="%6."/>
      <w:lvlJc w:val="left"/>
      <w:pPr>
        <w:ind w:left="1276" w:hanging="1134"/>
      </w:pPr>
    </w:lvl>
    <w:lvl w:ilvl="6">
      <w:start w:val="1"/>
      <w:numFmt w:val="decimal"/>
      <w:lvlText w:val="%7."/>
      <w:lvlJc w:val="left"/>
      <w:pPr>
        <w:ind w:left="1418" w:hanging="1134"/>
      </w:pPr>
    </w:lvl>
    <w:lvl w:ilvl="7">
      <w:start w:val="1"/>
      <w:numFmt w:val="decimal"/>
      <w:lvlText w:val="%8."/>
      <w:lvlJc w:val="left"/>
      <w:pPr>
        <w:ind w:left="1560" w:hanging="1134"/>
      </w:pPr>
    </w:lvl>
    <w:lvl w:ilvl="8">
      <w:start w:val="1"/>
      <w:numFmt w:val="decimal"/>
      <w:lvlText w:val="%9."/>
      <w:lvlJc w:val="left"/>
      <w:pPr>
        <w:ind w:left="1702" w:hanging="1134"/>
      </w:pPr>
    </w:lvl>
  </w:abstractNum>
  <w:abstractNum w:abstractNumId="1">
    <w:multiLevelType w:val="hybridMultilevel"/>
    <w:lvl w:ilvl="0">
      <w:start w:val="1"/>
      <w:numFmt w:val="bullet"/>
      <w:pStyle w:val="Listapunktowana"/>
      <w:lvlText w:val=""/>
      <w:lvlJc w:val="left"/>
      <w:pPr>
        <w:ind w:left="360" w:hanging="288"/>
      </w:pPr>
      <w:rPr>
        <w:rFonts w:ascii="Symbol" w:hAnsi="Symbol" w:hint="default"/>
        <w:color w:val="418AB3"/>
      </w:rPr>
    </w:lvl>
    <w:lvl w:ilvl="1">
      <w:start w:val="1"/>
      <w:numFmt w:val="bullet"/>
      <w:lvlText w:val="–"/>
      <w:lvlJc w:val="left"/>
      <w:pPr>
        <w:ind w:left="720" w:hanging="288"/>
      </w:pPr>
      <w:rPr>
        <w:color w:val="418AB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updateFields w:val="true"/>
  <w:defaultTabStop w:val="720"/>
  <w:hyphenationZone w:val="425"/>
  <w:characterSpacingControl w:val="doNotCompress"/>
  <w:compat>
    <w:compatSetting w:name="compatibilityMode" w:uri="http://schemas.microsoft.com/office/word" w:val="15"/>
  </w:compat>
  <w:themeFontLang w:val="pl-PL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MS Gothic" w:hAnsi="Century Gothic" w:cs="Tahoma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xmlns:w="http://schemas.openxmlformats.org/wordprocessingml/2006/main" w:type="paragraph" w:default="1" w:styleId="Normalny">
    <w:name w:val="Normal"/>
    <w:qFormat/>
    <w:pPr>
      <w:spacing w:after="0" w:line="360" w:lineRule="auto"/>
      <w:jc w:val="both"/>
    </w:pPr>
    <w:rPr>
      <w:color w:val="000000"/>
      <w:sz w:val="20"/>
      <w:szCs w:val="20"/>
      <w:lang w:val="pl-PL" w:eastAsia="pl-PL"/>
    </w:rPr>
  </w:style>
  <w:style xmlns:w="http://schemas.openxmlformats.org/wordprocessingml/2006/main"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numPr>
        <w:ilvl w:val="0"/>
        <w:numId w:val="1"/>
      </w:numPr>
      <w:pBdr>
        <w:bottom w:val="single" w:sz="4" w:space="1" w:color="418AB3"/>
      </w:pBdr>
      <w:spacing w:before="400" w:after="120" w:line="240" w:lineRule="auto"/>
      <w:jc w:val="left"/>
      <w:outlineLvl w:val="0"/>
    </w:pPr>
    <w:rPr>
      <w:color w:val="306785"/>
      <w:sz w:val="36"/>
      <w:szCs w:val="36"/>
    </w:rPr>
  </w:style>
  <w:style xmlns:w="http://schemas.openxmlformats.org/wordprocessingml/2006/main"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numPr>
        <w:ilvl w:val="1"/>
        <w:numId w:val="1"/>
      </w:numPr>
      <w:spacing w:before="240" w:after="80" w:line="240" w:lineRule="auto"/>
      <w:jc w:val="left"/>
      <w:outlineLvl w:val="1"/>
    </w:pPr>
    <w:rPr>
      <w:color w:val="306785"/>
      <w:sz w:val="28"/>
      <w:szCs w:val="28"/>
    </w:rPr>
  </w:style>
  <w:style xmlns:w="http://schemas.openxmlformats.org/wordprocessingml/2006/main"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numPr>
        <w:ilvl w:val="2"/>
        <w:numId w:val="1"/>
      </w:numPr>
      <w:spacing w:before="200" w:after="60" w:line="240" w:lineRule="auto"/>
      <w:jc w:val="left"/>
      <w:outlineLvl w:val="2"/>
    </w:pPr>
    <w:rPr>
      <w:color w:val="306785"/>
      <w:sz w:val="26"/>
      <w:szCs w:val="26"/>
    </w:rPr>
  </w:style>
  <w:style xmlns:w="http://schemas.openxmlformats.org/wordprocessingml/2006/main"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numPr>
        <w:ilvl w:val="3"/>
        <w:numId w:val="1"/>
      </w:numPr>
      <w:spacing w:before="160" w:after="40" w:line="240" w:lineRule="auto"/>
      <w:jc w:val="left"/>
      <w:outlineLvl w:val="3"/>
    </w:pPr>
    <w:rPr>
      <w:color w:val="306785"/>
      <w:sz w:val="22"/>
      <w:szCs w:val="22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80"/>
      <w:outlineLvl w:val="4"/>
    </w:pPr>
    <w:rPr>
      <w:rFonts w:cs="Times New Roman"/>
      <w:i/>
      <w:iCs/>
      <w:sz w:val="22"/>
      <w:szCs w:val="22"/>
      <w:lang w:val="x-none" w:eastAsia="x-none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80"/>
      <w:outlineLvl w:val="5"/>
    </w:pPr>
    <w:rPr>
      <w:rFonts w:cs="Times New Roman"/>
      <w:color w:val="595959"/>
      <w:sz w:val="20"/>
      <w:szCs w:val="20"/>
      <w:lang w:val="x-none" w:eastAsia="x-none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80"/>
      <w:outlineLvl w:val="6"/>
    </w:pPr>
    <w:rPr>
      <w:rFonts w:cs="Times New Roman"/>
      <w:i/>
      <w:iCs/>
      <w:color w:val="595959"/>
      <w:sz w:val="20"/>
      <w:szCs w:val="20"/>
      <w:lang w:val="x-none" w:eastAsia="x-none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before="80"/>
      <w:outlineLvl w:val="7"/>
    </w:pPr>
    <w:rPr>
      <w:rFonts w:cs="Times New Roman"/>
      <w:smallCaps/>
      <w:color w:val="595959"/>
      <w:sz w:val="20"/>
      <w:szCs w:val="20"/>
      <w:lang w:val="x-none" w:eastAsia="x-none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80"/>
      <w:outlineLvl w:val="8"/>
    </w:pPr>
    <w:rPr>
      <w:rFonts w:cs="Times New Roman"/>
      <w:i/>
      <w:iCs/>
      <w:smallCaps/>
      <w:color w:val="595959"/>
      <w:sz w:val="20"/>
      <w:szCs w:val="20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Pr>
      <w:rFonts w:cs="Times New Roman"/>
      <w:color w:val="306785"/>
      <w:sz w:val="36"/>
      <w:szCs w:val="36"/>
      <w:lang w:val="x-none" w:eastAsia="x-none"/>
    </w:rPr>
  </w:style>
  <w:style w:type="character" w:customStyle="1" w:styleId="Nagwek2Znak">
    <w:name w:val="Nagłówek 2 Znak"/>
    <w:link w:val="Nagwek2"/>
    <w:uiPriority w:val="9"/>
    <w:rPr>
      <w:rFonts w:ascii="Century Gothic" w:eastAsia="MS Gothic" w:hAnsi="Century Gothic" w:cs="Tahoma"/>
      <w:color w:val="306785"/>
      <w:sz w:val="28"/>
      <w:szCs w:val="28"/>
    </w:rPr>
  </w:style>
  <w:style w:type="character" w:customStyle="1" w:styleId="Nagwek3Znak">
    <w:name w:val="Nagłówek 3 Znak"/>
    <w:link w:val="Nagwek3"/>
    <w:uiPriority w:val="9"/>
    <w:rPr>
      <w:rFonts w:ascii="Century Gothic" w:eastAsia="MS Gothic" w:hAnsi="Century Gothic" w:cs="Tahoma"/>
      <w:color w:val="306785"/>
      <w:sz w:val="26"/>
      <w:szCs w:val="26"/>
    </w:rPr>
  </w:style>
  <w:style w:type="character" w:customStyle="1" w:styleId="Nagwek4Znak">
    <w:name w:val="Nagłówek 4 Znak"/>
    <w:link w:val="Nagwek4"/>
    <w:uiPriority w:val="9"/>
    <w:rPr>
      <w:rFonts w:ascii="Century Gothic" w:eastAsia="MS Gothic" w:hAnsi="Century Gothic" w:cs="Tahoma"/>
      <w:color w:val="306785"/>
      <w:sz w:val="22"/>
      <w:szCs w:val="24"/>
    </w:rPr>
  </w:style>
  <w:style w:type="character" w:customStyle="1" w:styleId="Nagwek5Znak">
    <w:name w:val="Nagłówek 5 Znak"/>
    <w:link w:val="Nagwek5"/>
    <w:uiPriority w:val="9"/>
    <w:rPr>
      <w:rFonts w:ascii="Century Gothic" w:eastAsia="MS Gothic" w:hAnsi="Century Gothic" w:cs="Tahoma"/>
      <w:i/>
      <w:iCs/>
      <w:sz w:val="22"/>
      <w:szCs w:val="22"/>
    </w:rPr>
  </w:style>
  <w:style w:type="character" w:customStyle="1" w:styleId="Nagwek6Znak">
    <w:name w:val="Nagłówek 6 Znak"/>
    <w:link w:val="Nagwek6"/>
    <w:uiPriority w:val="9"/>
    <w:rPr>
      <w:rFonts w:ascii="Century Gothic" w:eastAsia="MS Gothic" w:hAnsi="Century Gothic" w:cs="Tahoma"/>
      <w:color w:val="595959"/>
    </w:rPr>
  </w:style>
  <w:style w:type="character" w:customStyle="1" w:styleId="Nagwek7Znak">
    <w:name w:val="Nagłówek 7 Znak"/>
    <w:link w:val="Nagwek7"/>
    <w:uiPriority w:val="9"/>
    <w:rPr>
      <w:rFonts w:ascii="Century Gothic" w:eastAsia="MS Gothic" w:hAnsi="Century Gothic" w:cs="Tahoma"/>
      <w:i/>
      <w:iCs/>
      <w:color w:val="595959"/>
    </w:rPr>
  </w:style>
  <w:style w:type="character" w:customStyle="1" w:styleId="Nagwek8Znak">
    <w:name w:val="Nagłówek 8 Znak"/>
    <w:link w:val="Nagwek8"/>
    <w:uiPriority w:val="9"/>
    <w:rPr>
      <w:rFonts w:ascii="Century Gothic" w:eastAsia="MS Gothic" w:hAnsi="Century Gothic" w:cs="Tahoma"/>
      <w:smallCaps/>
      <w:color w:val="595959"/>
    </w:rPr>
  </w:style>
  <w:style w:type="character" w:customStyle="1" w:styleId="Nagwek9Znak">
    <w:name w:val="Nagłówek 9 Znak"/>
    <w:link w:val="Nagwek9"/>
    <w:uiPriority w:val="9"/>
    <w:semiHidden/>
    <w:rPr>
      <w:rFonts w:ascii="Century Gothic" w:eastAsia="MS Gothic" w:hAnsi="Century Gothic" w:cs="Tahoma"/>
      <w:i/>
      <w:iCs/>
      <w:smallCaps/>
      <w:color w:val="595959"/>
    </w:rPr>
  </w:style>
  <w:style w:type="paragraph" w:customStyle="1" w:styleId="nagwek10">
    <w:name w:val="nagłówek 1"/>
    <w:basedOn w:val="Normalny"/>
    <w:next w:val="Normalny"/>
    <w:link w:val="Nagwek1znak0"/>
    <w:uiPriority w:val="9"/>
    <w:pPr>
      <w:keepNext/>
      <w:keepLines/>
      <w:pBdr>
        <w:bottom w:val="single" w:sz="8" w:space="0" w:color="D7E7F0"/>
      </w:pBdr>
      <w:spacing w:after="200"/>
      <w:outlineLvl w:val="0"/>
    </w:pPr>
    <w:rPr>
      <w:rFonts w:cs="Times New Roman"/>
      <w:color w:val="418AB3"/>
      <w:sz w:val="36"/>
      <w:szCs w:val="36"/>
      <w:lang w:val="x-none" w:eastAsia="x-none"/>
    </w:rPr>
  </w:style>
  <w:style w:type="character" w:customStyle="1" w:styleId="Nagwek1znak0">
    <w:name w:val="Nagłówek 1 (znak)"/>
    <w:link w:val="nagwek10"/>
    <w:uiPriority w:val="9"/>
    <w:rPr>
      <w:rFonts w:ascii="Century Gothic" w:eastAsia="MS Gothic" w:hAnsi="Century Gothic" w:cs="Tahoma"/>
      <w:color w:val="418AB3"/>
      <w:sz w:val="36"/>
      <w:szCs w:val="36"/>
    </w:rPr>
  </w:style>
  <w:style w:type="paragraph" w:customStyle="1" w:styleId="nagwek20">
    <w:name w:val="nagłówek 2"/>
    <w:basedOn w:val="Normalny"/>
    <w:next w:val="Normalny"/>
    <w:link w:val="Nagwek2znak0"/>
    <w:uiPriority w:val="9"/>
    <w:unhideWhenUsed/>
    <w:pPr>
      <w:keepNext/>
      <w:keepLines/>
      <w:spacing w:before="120"/>
      <w:outlineLvl w:val="1"/>
    </w:pPr>
    <w:rPr>
      <w:rFonts w:cs="Times New Roman"/>
      <w:b/>
      <w:bCs/>
      <w:sz w:val="26"/>
      <w:szCs w:val="26"/>
      <w:lang w:val="x-none" w:eastAsia="x-none"/>
    </w:rPr>
  </w:style>
  <w:style w:type="character" w:customStyle="1" w:styleId="Nagwek2znak0">
    <w:name w:val="Nagłówek 2 (znak)"/>
    <w:link w:val="nagwek20"/>
    <w:uiPriority w:val="9"/>
    <w:rPr>
      <w:b/>
      <w:bCs/>
      <w:sz w:val="26"/>
      <w:szCs w:val="26"/>
    </w:rPr>
  </w:style>
  <w:style w:type="paragraph" w:customStyle="1" w:styleId="nagwek30">
    <w:name w:val="nagłówek 3"/>
    <w:basedOn w:val="Normalny"/>
    <w:next w:val="Normalny"/>
    <w:link w:val="Nagwek3znak0"/>
    <w:uiPriority w:val="9"/>
    <w:unhideWhenUsed/>
    <w:pPr>
      <w:keepNext/>
      <w:keepLines/>
      <w:spacing w:before="40"/>
      <w:outlineLvl w:val="2"/>
    </w:pPr>
    <w:rPr>
      <w:rFonts w:cs="Times New Roman"/>
      <w:b/>
      <w:bCs/>
      <w:i/>
      <w:iCs/>
      <w:sz w:val="24"/>
      <w:szCs w:val="24"/>
      <w:lang w:val="x-none" w:eastAsia="x-none"/>
    </w:rPr>
  </w:style>
  <w:style w:type="character" w:customStyle="1" w:styleId="Nagwek3znak0">
    <w:name w:val="Nagłówek 3 (znak)"/>
    <w:link w:val="nagwek30"/>
    <w:uiPriority w:val="9"/>
    <w:rPr>
      <w:b/>
      <w:bCs/>
      <w:i/>
      <w:iCs/>
      <w:sz w:val="24"/>
      <w:szCs w:val="24"/>
    </w:rPr>
  </w:style>
  <w:style w:type="paragraph" w:customStyle="1" w:styleId="nagwek40">
    <w:name w:val="nagłówek 4"/>
    <w:basedOn w:val="Normalny"/>
    <w:next w:val="Normalny"/>
    <w:link w:val="Nagwek4znak0"/>
    <w:uiPriority w:val="9"/>
    <w:semiHidden/>
    <w:unhideWhenUsed/>
    <w:pPr>
      <w:keepNext/>
      <w:keepLines/>
      <w:spacing w:before="40"/>
      <w:outlineLvl w:val="3"/>
    </w:pPr>
    <w:rPr>
      <w:rFonts w:cs="Times New Roman"/>
      <w:i/>
      <w:iCs/>
      <w:color w:val="306785"/>
      <w:sz w:val="20"/>
      <w:szCs w:val="20"/>
      <w:lang w:val="x-none" w:eastAsia="x-none"/>
    </w:rPr>
  </w:style>
  <w:style w:type="character" w:customStyle="1" w:styleId="Nagwek4znak0">
    <w:name w:val="Nagłówek 4 (znak)"/>
    <w:link w:val="nagwek40"/>
    <w:uiPriority w:val="9"/>
    <w:semiHidden/>
    <w:rPr>
      <w:rFonts w:ascii="Century Gothic" w:eastAsia="MS Gothic" w:hAnsi="Century Gothic" w:cs="Tahoma"/>
      <w:i/>
      <w:iCs/>
      <w:color w:val="306785"/>
    </w:rPr>
  </w:style>
  <w:style w:type="paragraph" w:customStyle="1" w:styleId="Logo">
    <w:name w:val="Logo"/>
    <w:basedOn w:val="Normalny"/>
    <w:uiPriority w:val="99"/>
    <w:unhideWhenUsed/>
    <w:pPr>
      <w:spacing w:before="600"/>
    </w:pPr>
  </w:style>
  <w:style w:type="character" w:customStyle="1" w:styleId="Tekstzastpczy1">
    <w:name w:val="Tekst zastępczy1"/>
    <w:uiPriority w:val="99"/>
    <w:semiHidden/>
    <w:rPr>
      <w:color w:val="808080"/>
    </w:rPr>
  </w:style>
  <w:style w:type="paragraph" w:customStyle="1" w:styleId="Tytu1">
    <w:name w:val="Tytuł1"/>
    <w:basedOn w:val="Normalny"/>
    <w:next w:val="Normalny"/>
    <w:link w:val="Tytuznak"/>
    <w:uiPriority w:val="10"/>
    <w:pPr>
      <w:spacing w:after="600"/>
      <w:contextualSpacing/>
    </w:pPr>
    <w:rPr>
      <w:rFonts w:cs="Times New Roman"/>
      <w:color w:val="418AB3"/>
      <w:kern w:val="28"/>
      <w:sz w:val="96"/>
      <w:szCs w:val="96"/>
      <w:lang w:val="x-none" w:eastAsia="x-none"/>
    </w:rPr>
  </w:style>
  <w:style w:type="character" w:customStyle="1" w:styleId="Tytuznak">
    <w:name w:val="Tytuł (znak)"/>
    <w:link w:val="Tytu1"/>
    <w:uiPriority w:val="10"/>
    <w:rPr>
      <w:rFonts w:ascii="Century Gothic" w:eastAsia="MS Gothic" w:hAnsi="Century Gothic" w:cs="Tahoma"/>
      <w:color w:val="418AB3"/>
      <w:kern w:val="28"/>
      <w:sz w:val="96"/>
      <w:szCs w:val="96"/>
    </w:rPr>
  </w:style>
  <w:style w:type="paragraph" w:customStyle="1" w:styleId="Podtytu1">
    <w:name w:val="Podtytuł1"/>
    <w:basedOn w:val="Normalny"/>
    <w:next w:val="Normalny"/>
    <w:link w:val="Podtytuznak"/>
    <w:uiPriority w:val="11"/>
    <w:pPr>
      <w:numPr>
        <w:ilvl w:val="1"/>
      </w:numPr>
    </w:pPr>
    <w:rPr>
      <w:rFonts w:cs="Times New Roman"/>
      <w:sz w:val="32"/>
      <w:szCs w:val="32"/>
      <w:lang w:val="x-none" w:eastAsia="x-none"/>
    </w:rPr>
  </w:style>
  <w:style w:type="character" w:customStyle="1" w:styleId="Podtytuznak">
    <w:name w:val="Podtytuł (znak)"/>
    <w:link w:val="Podtytu1"/>
    <w:uiPriority w:val="11"/>
    <w:rPr>
      <w:sz w:val="32"/>
      <w:szCs w:val="32"/>
    </w:rPr>
  </w:style>
  <w:style w:type="paragraph" w:customStyle="1" w:styleId="Bezodstpw1">
    <w:name w:val="Bez odstępów1"/>
    <w:uiPriority w:val="1"/>
    <w:rPr>
      <w:sz w:val="21"/>
      <w:szCs w:val="21"/>
      <w:lang w:val="cs-CZ" w:eastAsia="cs-CZ"/>
    </w:rPr>
  </w:style>
  <w:style w:type="table" w:customStyle="1" w:styleId="Siatkatabeli">
    <w:name w:val="Siatka tabeli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jekontaktowe">
    <w:name w:val="Informacje kontaktowe"/>
    <w:basedOn w:val="Bezodstpw1"/>
    <w:rPr>
      <w:color w:val="FFFFFF"/>
      <w:sz w:val="22"/>
      <w:szCs w:val="22"/>
    </w:rPr>
  </w:style>
  <w:style w:type="paragraph" w:customStyle="1" w:styleId="Odstptabeli">
    <w:name w:val="Odstęp tabeli"/>
    <w:basedOn w:val="Bezodstpw1"/>
    <w:uiPriority w:val="99"/>
    <w:pPr>
      <w:spacing w:line="14" w:lineRule="exact"/>
    </w:pPr>
  </w:style>
  <w:style w:type="paragraph" w:customStyle="1" w:styleId="nagwek">
    <w:name w:val="nagłówek"/>
    <w:basedOn w:val="Normalny"/>
    <w:link w:val="Nagwekznak"/>
    <w:uiPriority w:val="99"/>
    <w:unhideWhenUsed/>
    <w:pPr>
      <w:tabs>
        <w:tab w:val="center" w:pos="4680"/>
        <w:tab w:val="right" w:pos="9360"/>
      </w:tabs>
    </w:pPr>
  </w:style>
  <w:style w:type="character" w:customStyle="1" w:styleId="Nagwekznak">
    <w:name w:val="Nagłówek (znak)"/>
    <w:basedOn w:val="Domylnaczcionkaakapitu"/>
    <w:link w:val="nagwek"/>
    <w:uiPriority w:val="99"/>
  </w:style>
  <w:style w:type="paragraph" w:customStyle="1" w:styleId="stopka">
    <w:name w:val="stopka"/>
    <w:basedOn w:val="Normalny"/>
    <w:link w:val="Stopkaznak"/>
    <w:uiPriority w:val="99"/>
    <w:unhideWhenUsed/>
    <w:rPr>
      <w:rFonts w:cs="Times New Roman"/>
      <w:caps/>
      <w:color w:val="418AB3"/>
      <w:sz w:val="16"/>
      <w:szCs w:val="16"/>
      <w:lang w:val="x-none" w:eastAsia="x-none"/>
    </w:rPr>
  </w:style>
  <w:style w:type="character" w:customStyle="1" w:styleId="Stopkaznak">
    <w:name w:val="Stopka (znak)"/>
    <w:link w:val="stopka"/>
    <w:uiPriority w:val="99"/>
    <w:rPr>
      <w:rFonts w:ascii="Century Gothic" w:eastAsia="MS Gothic" w:hAnsi="Century Gothic" w:cs="Tahoma"/>
      <w:caps/>
      <w:color w:val="418AB3"/>
      <w:sz w:val="16"/>
      <w:szCs w:val="16"/>
    </w:rPr>
  </w:style>
  <w:style w:type="paragraph" w:customStyle="1" w:styleId="Nagwekspisutreci1">
    <w:name w:val="Nagłówek spisu treści1"/>
    <w:basedOn w:val="nagwek10"/>
    <w:next w:val="Normalny"/>
    <w:uiPriority w:val="39"/>
    <w:unhideWhenUsed/>
    <w:pPr>
      <w:pBdr>
        <w:bottom w:val="none" w:sz="0" w:space="0" w:color="auto"/>
      </w:pBdr>
      <w:spacing w:after="400"/>
      <w:outlineLvl w:val="9"/>
    </w:pPr>
    <w:rPr>
      <w:color w:val="306785"/>
      <w:sz w:val="72"/>
      <w:szCs w:val="72"/>
    </w:rPr>
  </w:style>
  <w:style w:type="paragraph" w:customStyle="1" w:styleId="spistreci1">
    <w:name w:val="spis treści 1"/>
    <w:basedOn w:val="Normalny"/>
    <w:next w:val="Normalny"/>
    <w:autoRedefine/>
    <w:uiPriority w:val="39"/>
    <w:unhideWhenUsed/>
    <w:pPr>
      <w:numPr>
        <w:numId w:val="1"/>
      </w:numPr>
      <w:spacing w:after="140"/>
      <w:ind w:right="3240"/>
    </w:pPr>
    <w:rPr>
      <w:b/>
      <w:bCs/>
      <w:sz w:val="26"/>
      <w:szCs w:val="26"/>
    </w:rPr>
  </w:style>
  <w:style w:type="paragraph" w:customStyle="1" w:styleId="spistreci2">
    <w:name w:val="spis treści 2"/>
    <w:basedOn w:val="Normalny"/>
    <w:next w:val="Normalny"/>
    <w:autoRedefine/>
    <w:uiPriority w:val="39"/>
    <w:unhideWhenUsed/>
    <w:pPr>
      <w:tabs>
        <w:tab w:val="right" w:leader="dot" w:pos="9350"/>
      </w:tabs>
      <w:spacing w:after="100"/>
      <w:ind w:left="720" w:right="3240"/>
    </w:pPr>
    <w:rPr>
      <w:sz w:val="22"/>
      <w:szCs w:val="22"/>
    </w:rPr>
  </w:style>
  <w:style w:type="character" w:customStyle="1" w:styleId="Hipercze1">
    <w:name w:val="Hiperłącze1"/>
    <w:uiPriority w:val="99"/>
    <w:unhideWhenUsed/>
    <w:rPr>
      <w:color w:val="F59E00"/>
      <w:u w:val="single"/>
    </w:rPr>
  </w:style>
  <w:style w:type="paragraph" w:customStyle="1" w:styleId="Logoalternatywny">
    <w:name w:val="Logo (alternatywny)"/>
    <w:basedOn w:val="Normalny"/>
    <w:uiPriority w:val="99"/>
    <w:unhideWhenUsed/>
    <w:pPr>
      <w:spacing w:before="720"/>
      <w:ind w:left="720"/>
    </w:pPr>
  </w:style>
  <w:style w:type="paragraph" w:customStyle="1" w:styleId="Stopkaalternatywny">
    <w:name w:val="Stopka (alternatywny)"/>
    <w:basedOn w:val="Normalny"/>
    <w:uiPriority w:val="99"/>
    <w:unhideWhenUsed/>
    <w:rPr>
      <w:i/>
      <w:iCs/>
      <w:sz w:val="18"/>
      <w:szCs w:val="18"/>
    </w:rPr>
  </w:style>
  <w:style w:type="table" w:customStyle="1" w:styleId="Tabelaporad">
    <w:name w:val="Tabela porad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w:type="paragraph" w:customStyle="1" w:styleId="Tekstporady">
    <w:name w:val="Tekst porady"/>
    <w:basedOn w:val="Normalny"/>
    <w:uiPriority w:val="99"/>
    <w:pPr>
      <w:spacing w:before="160" w:after="160"/>
      <w:ind w:right="576"/>
    </w:pPr>
    <w:rPr>
      <w:i/>
      <w:iCs/>
      <w:sz w:val="16"/>
      <w:szCs w:val="16"/>
    </w:rPr>
  </w:style>
  <w:style w:type="paragraph" w:customStyle="1" w:styleId="Ikona">
    <w:name w:val="Ikona"/>
    <w:basedOn w:val="Normalny"/>
    <w:uiPriority w:val="99"/>
    <w:unhideWhenUsed/>
    <w:pPr>
      <w:spacing w:before="160" w:after="160"/>
      <w:jc w:val="center"/>
    </w:pPr>
  </w:style>
  <w:style w:type="table" w:customStyle="1" w:styleId="Tabelafinansowa">
    <w:name w:val="Tabela finansowa"/>
    <w:basedOn w:val="Standardowy"/>
    <w:uiPriority w:val="99"/>
    <w:pPr>
      <w:spacing w:before="60" w:after="60"/>
    </w:pPr>
    <w:tblPr>
      <w:tblStyleRowBandSize w:val="1"/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V w:val="single" w:sz="4" w:space="0" w:color="BEBEBE"/>
      </w:tblBorders>
    </w:tblPr>
    <w:tblStylePr w:type="firstRow">
      <w:rPr>
        <w:rFonts w:ascii="Open Sans" w:hAnsi="Open Sans"/>
        <w:color w:val="FFFFFF"/>
        <w:sz w:val="16"/>
      </w:rPr>
      <w:tblPr/>
      <w:tcPr>
        <w:shd w:val="clear" w:color="auto" w:fill="418AB3"/>
      </w:tcPr>
    </w:tblStylePr>
    <w:tblStylePr w:type="lastRow">
      <w:rPr>
        <w:rFonts w:ascii="Open Sans" w:hAnsi="Open Sans"/>
        <w:b/>
        <w:caps/>
        <w:smallCaps w:val="0"/>
        <w:color w:val="418AB3"/>
        <w:sz w:val="16"/>
      </w:rPr>
      <w:tblPr/>
      <w:tcPr>
        <w:tcBorders>
          <w:top w:val="nil"/>
        </w:tcBorders>
      </w:tcPr>
    </w:tblStylePr>
    <w:tblStylePr w:type="firstCol">
      <w:rPr>
        <w:rFonts w:ascii="Open Sans" w:hAnsi="Open Sans"/>
        <w:sz w:val="16"/>
      </w:rPr>
    </w:tblStylePr>
    <w:tblStylePr w:type="band2Horz">
      <w:tblPr/>
      <w:tcPr>
        <w:shd w:val="clear" w:color="auto" w:fill="DEDEDE"/>
      </w:tcPr>
    </w:tblStylePr>
  </w:style>
  <w:style w:type="paragraph" w:customStyle="1" w:styleId="spistreci3">
    <w:name w:val="spis treści 3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customStyle="1" w:styleId="spistreci4">
    <w:name w:val="spis treści 4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styleId="Tekstdymka">
    <w:name w:val="Balloon Text"/>
    <w:basedOn w:val="Normalny"/>
    <w:link w:val="TekstdymkaZnak"/>
    <w:uiPriority w:val="99"/>
    <w:semiHidden/>
    <w:unhideWhenUsed/>
    <w:rPr>
      <w:rFonts w:ascii="Tahoma" w:hAnsi="Tahoma" w:cs="Times New Roman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Pr>
      <w:rFonts w:ascii="Tahoma" w:hAnsi="Tahoma" w:cs="Tahoma"/>
      <w:sz w:val="16"/>
      <w:szCs w:val="16"/>
    </w:rPr>
  </w:style>
  <w:style w:type="paragraph" w:styleId="Nagwek0">
    <w:name w:val="header"/>
    <w:basedOn w:val="Normalny"/>
    <w:link w:val="NagwekZnak0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0">
    <w:name w:val="Nagłówek Znak"/>
    <w:basedOn w:val="Domylnaczcionkaakapitu"/>
    <w:link w:val="Nagwek0"/>
    <w:uiPriority w:val="99"/>
  </w:style>
  <w:style w:type="paragraph" w:styleId="Stopka0">
    <w:name w:val="footer"/>
    <w:basedOn w:val="Normalny"/>
    <w:link w:val="StopkaZnak0"/>
    <w:uiPriority w:val="99"/>
    <w:unhideWhenUsed/>
    <w:pPr>
      <w:tabs>
        <w:tab w:val="center" w:pos="4536"/>
        <w:tab w:val="right" w:pos="9072"/>
      </w:tabs>
    </w:pPr>
    <w:rPr>
      <w:rFonts w:cs="Times New Roman"/>
      <w:caps/>
      <w:color w:val="418AB3"/>
      <w:sz w:val="16"/>
      <w:szCs w:val="20"/>
      <w:lang w:val="x-none" w:eastAsia="x-none"/>
    </w:rPr>
  </w:style>
  <w:style w:type="character" w:customStyle="1" w:styleId="StopkaZnak0">
    <w:name w:val="Stopka Znak"/>
    <w:link w:val="Stopka0"/>
    <w:uiPriority w:val="99"/>
    <w:rPr>
      <w:rFonts w:ascii="Century Gothic" w:hAnsi="Century Gothic"/>
      <w:caps/>
      <w:color w:val="418AB3"/>
      <w:sz w:val="16"/>
    </w:rPr>
  </w:style>
  <w:style xmlns:w="http://schemas.openxmlformats.org/wordprocessingml/2006/main" w:type="paragraph" w:styleId="Nagwekspisutreci">
    <w:name w:val="TOC Heading"/>
    <w:basedOn w:val="Nagwek1"/>
    <w:next w:val="Normalny"/>
    <w:uiPriority w:val="39"/>
    <w:unhideWhenUsed/>
    <w:qFormat/>
    <w:pPr>
      <w:numPr>
        <w:ilvl w:val="0"/>
        <w:numId w:val="0"/>
      </w:numPr>
      <w:ind w:left="0" w:firstLine="0"/>
      <w:outlineLvl w:val="9"/>
    </w:pPr>
  </w:style>
  <w:style xmlns:w="http://schemas.openxmlformats.org/wordprocessingml/2006/main" w:type="paragraph" w:styleId="Spistreci10">
    <w:name w:val="toc 1"/>
    <w:basedOn w:val="Normalny"/>
    <w:next w:val="Normalny"/>
    <w:autoRedefine/>
    <w:uiPriority w:val="39"/>
    <w:unhideWhenUsed/>
    <w:pPr>
      <w:tabs>
        <w:tab w:val="right" w:leader="dot" w:pos="9737"/>
      </w:tabs>
      <w:spacing w:before="120" w:after="60" w:line="240" w:lineRule="auto"/>
      <w:ind w:left="0"/>
      <w:jc w:val="left"/>
    </w:pPr>
    <w:rPr>
      <w:b/>
      <w:sz w:val="22"/>
      <w:szCs w:val="22"/>
    </w:rPr>
  </w:style>
  <w:style xmlns:w="http://schemas.openxmlformats.org/wordprocessingml/2006/main" w:type="paragraph" w:styleId="Spistreci20">
    <w:name w:val="toc 2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440"/>
      <w:jc w:val="left"/>
    </w:pPr>
    <w:rPr>
      <w:sz w:val="20"/>
      <w:szCs w:val="20"/>
    </w:rPr>
  </w:style>
  <w:style xmlns:w="http://schemas.openxmlformats.org/wordprocessingml/2006/main" w:type="paragraph" w:styleId="Spistreci30">
    <w:name w:val="toc 3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880"/>
      <w:jc w:val="left"/>
    </w:pPr>
    <w:rPr>
      <w:sz w:val="20"/>
      <w:szCs w:val="20"/>
    </w:rPr>
  </w:style>
  <w:style w:type="character" w:styleId="Hipercze">
    <w:name w:val="Hyperlink"/>
    <w:uiPriority w:val="99"/>
    <w:unhideWhenUsed/>
    <w:rPr>
      <w:color w:val="F59E00"/>
      <w:u w:val="single"/>
    </w:rPr>
  </w:style>
  <w:style w:type="character" w:styleId="Tekstzastpczy">
    <w:name w:val="Placeholder Text"/>
    <w:uiPriority w:val="99"/>
    <w:semiHidden/>
    <w:rPr>
      <w:color w:val="808080"/>
    </w:rPr>
  </w:style>
  <w:style w:type="paragraph" w:customStyle="1" w:styleId="Tytu2">
    <w:name w:val="Tytuł2"/>
    <w:basedOn w:val="Normalny"/>
    <w:next w:val="Normalny"/>
    <w:uiPriority w:val="10"/>
    <w:pPr>
      <w:spacing w:after="600"/>
      <w:contextualSpacing/>
    </w:pPr>
    <w:rPr>
      <w:color w:val="418AB3"/>
      <w:kern w:val="28"/>
      <w:sz w:val="96"/>
      <w:szCs w:val="96"/>
      <w:lang w:val="pl-PL" w:eastAsia="zh-CN"/>
    </w:rPr>
  </w:style>
  <w:style w:type="paragraph" w:customStyle="1" w:styleId="Podtytu2">
    <w:name w:val="Podtytuł2"/>
    <w:basedOn w:val="Normalny"/>
    <w:next w:val="Normalny"/>
    <w:uiPriority w:val="11"/>
    <w:pPr>
      <w:numPr>
        <w:ilvl w:val="1"/>
      </w:numPr>
    </w:pPr>
    <w:rPr>
      <w:sz w:val="32"/>
      <w:szCs w:val="32"/>
      <w:lang w:val="pl-PL" w:eastAsia="zh-CN"/>
    </w:rPr>
  </w:style>
  <w:style w:type="table" w:customStyle="1" w:styleId="Tabelaporad1">
    <w:name w:val="Tabela porad1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xmlns:w="http://schemas.openxmlformats.org/wordprocessingml/2006/main" w:type="paragraph" w:styleId="Legenda">
    <w:name w:val="caption"/>
    <w:basedOn w:val="Normalny"/>
    <w:next w:val="Normalny"/>
    <w:uiPriority w:val="35"/>
    <w:unhideWhenUsed/>
    <w:qFormat/>
    <w:pPr>
      <w:spacing w:before="60" w:after="200" w:line="240" w:lineRule="auto"/>
      <w:jc w:val="left"/>
    </w:pPr>
    <w:rPr>
      <w:b/>
      <w:bCs/>
      <w:color w:val="404040"/>
    </w:rPr>
  </w:style>
  <w:style w:type="paragraph" w:styleId="Tytu">
    <w:name w:val="Title"/>
    <w:basedOn w:val="Normalny"/>
    <w:next w:val="Normalny"/>
    <w:link w:val="TytuZnak0"/>
    <w:uiPriority w:val="10"/>
    <w:qFormat/>
    <w:pPr>
      <w:contextualSpacing/>
    </w:pPr>
    <w:rPr>
      <w:rFonts w:cs="Times New Roman"/>
      <w:color w:val="306785"/>
      <w:spacing w:val="-7"/>
      <w:sz w:val="80"/>
      <w:szCs w:val="80"/>
      <w:lang w:val="x-none" w:eastAsia="x-none"/>
    </w:rPr>
  </w:style>
  <w:style w:type="character" w:customStyle="1" w:styleId="TytuZnak0">
    <w:name w:val="Tytuł Znak"/>
    <w:link w:val="Tytu"/>
    <w:uiPriority w:val="10"/>
    <w:rPr>
      <w:rFonts w:ascii="Century Gothic" w:eastAsia="MS Gothic" w:hAnsi="Century Gothic" w:cs="Tahoma"/>
      <w:color w:val="306785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0"/>
    <w:uiPriority w:val="11"/>
    <w:qFormat/>
    <w:pPr>
      <w:numPr>
        <w:ilvl w:val="1"/>
      </w:numPr>
      <w:spacing w:after="240"/>
    </w:pPr>
    <w:rPr>
      <w:rFonts w:cs="Times New Roman"/>
      <w:color w:val="404040"/>
      <w:sz w:val="30"/>
      <w:szCs w:val="30"/>
      <w:lang w:val="x-none" w:eastAsia="x-none"/>
    </w:rPr>
  </w:style>
  <w:style w:type="character" w:customStyle="1" w:styleId="PodtytuZnak0">
    <w:name w:val="Podtytuł Znak"/>
    <w:link w:val="Podtytu"/>
    <w:uiPriority w:val="11"/>
    <w:rPr>
      <w:rFonts w:ascii="Century Gothic" w:eastAsia="MS Gothic" w:hAnsi="Century Gothic" w:cs="Tahoma"/>
      <w:color w:val="404040"/>
      <w:sz w:val="30"/>
      <w:szCs w:val="30"/>
    </w:rPr>
  </w:style>
  <w:style w:type="character" w:styleId="Pogrubienie">
    <w:name w:val="Strong"/>
    <w:uiPriority w:val="22"/>
    <w:qFormat/>
    <w:rPr>
      <w:b/>
      <w:bCs/>
    </w:rPr>
  </w:style>
  <w:style w:type="character" w:styleId="Uwydatnienie">
    <w:name w:val="Emphasis"/>
    <w:uiPriority w:val="20"/>
    <w:qFormat/>
    <w:rPr>
      <w:i/>
      <w:iCs/>
    </w:rPr>
  </w:style>
  <w:style w:type="paragraph" w:styleId="Bezodstpw">
    <w:name w:val="No Spacing"/>
    <w:aliases w:val="Lista pusta 2-poziom"/>
    <w:uiPriority w:val="1"/>
    <w:qFormat/>
    <w:rPr>
      <w:sz w:val="21"/>
      <w:szCs w:val="21"/>
      <w:lang w:val="cs-CZ" w:eastAsia="cs-CZ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240" w:after="240" w:line="252" w:lineRule="auto"/>
      <w:ind w:left="864" w:right="864"/>
      <w:jc w:val="center"/>
    </w:pPr>
    <w:rPr>
      <w:rFonts w:cs="Times New Roman"/>
      <w:i/>
      <w:iCs/>
      <w:sz w:val="20"/>
      <w:szCs w:val="20"/>
      <w:lang w:val="x-none" w:eastAsia="x-none"/>
    </w:rPr>
  </w:style>
  <w:style w:type="character" w:customStyle="1" w:styleId="CytatZnak">
    <w:name w:val="Cytat Znak"/>
    <w:link w:val="Cytat"/>
    <w:uiPriority w:val="29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spacing w:before="100" w:beforeAutospacing="1" w:after="240"/>
      <w:ind w:left="864" w:right="864"/>
      <w:jc w:val="center"/>
    </w:pPr>
    <w:rPr>
      <w:rFonts w:cs="Times New Roman"/>
      <w:color w:val="418AB3"/>
      <w:sz w:val="28"/>
      <w:szCs w:val="28"/>
      <w:lang w:val="x-none" w:eastAsia="x-none"/>
    </w:rPr>
  </w:style>
  <w:style w:type="character" w:customStyle="1" w:styleId="CytatintensywnyZnak">
    <w:name w:val="Cytat intensywny Znak"/>
    <w:link w:val="Cytatintensywny"/>
    <w:uiPriority w:val="30"/>
    <w:rPr>
      <w:rFonts w:ascii="Century Gothic" w:eastAsia="MS Gothic" w:hAnsi="Century Gothic" w:cs="Tahoma"/>
      <w:color w:val="418AB3"/>
      <w:sz w:val="28"/>
      <w:szCs w:val="28"/>
    </w:rPr>
  </w:style>
  <w:style w:type="character" w:styleId="Wyrnieniedelikatne">
    <w:name w:val="Subtle Emphasis"/>
    <w:uiPriority w:val="19"/>
    <w:qFormat/>
    <w:rPr>
      <w:i/>
      <w:iCs/>
      <w:color w:val="595959"/>
    </w:rPr>
  </w:style>
  <w:style w:type="character" w:styleId="Wyrnienieintensywne">
    <w:name w:val="Intense Emphasis"/>
    <w:uiPriority w:val="21"/>
    <w:qFormat/>
    <w:rPr>
      <w:b/>
      <w:bCs/>
      <w:i/>
      <w:iCs/>
    </w:rPr>
  </w:style>
  <w:style w:type="character" w:styleId="Odwoaniedelikatne">
    <w:name w:val="Subtle Reference"/>
    <w:uiPriority w:val="31"/>
    <w:qFormat/>
    <w:rPr>
      <w:smallCaps/>
      <w:color w:val="404040"/>
    </w:rPr>
  </w:style>
  <w:style w:type="character" w:styleId="Odwoanieintensywne">
    <w:name w:val="Intense Reference"/>
    <w:uiPriority w:val="32"/>
    <w:qFormat/>
    <w:rPr>
      <w:b/>
      <w:bCs/>
      <w:smallCaps/>
      <w:u w:val="single"/>
    </w:rPr>
  </w:style>
  <w:style w:type="character" w:styleId="Tytuksiki">
    <w:name w:val="Book Title"/>
    <w:uiPriority w:val="33"/>
    <w:qFormat/>
    <w:rPr>
      <w:b/>
      <w:bCs/>
      <w:smallCaps/>
    </w:rPr>
  </w:style>
  <w:style w:type="table" w:styleId="Tabela-Siatka">
    <w:name w:val="Table Grid"/>
    <w:basedOn w:val="Standardowy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aliases w:val="Bulleted list,Mobile - Punktowanie1,lp1,Preambuła,wypunktowanie,sw tekst,L1,Numerowanie,List Paragraph,T_SZ_List Paragraph,Akapit z listą5"/>
    <w:basedOn w:val="Normalny"/>
    <w:link w:val="AkapitzlistZnak"/>
    <w:uiPriority w:val="34"/>
    <w:qFormat/>
    <w:pPr>
      <w:ind w:left="720"/>
      <w:contextualSpacing/>
    </w:pPr>
  </w:style>
  <w:style w:type="character" w:customStyle="1" w:styleId="AkapitzlistZnak">
    <w:name w:val="Akapit z listą Znak"/>
    <w:aliases w:val="Bulleted list Znak,Mobile - Punktowanie1 Znak,lp1 Znak,Preambuła Znak,wypunktowanie Znak,sw tekst Znak,L1 Znak,Numerowanie Znak,List Paragraph Znak,T_SZ_List Paragraph Znak,Akapit z listą5 Znak"/>
    <w:link w:val="Akapitzlist"/>
    <w:uiPriority w:val="34"/>
    <w:qFormat/>
    <w:locked/>
  </w:style>
  <w:style w:type="table" w:customStyle="1" w:styleId="Siatkatabelijasna1">
    <w:name w:val="Siatka tabeli — jasna1"/>
    <w:basedOn w:val="Standardowy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-Siatka1">
    <w:name w:val="Tabela - Siatka1"/>
    <w:basedOn w:val="Standardowy"/>
    <w:next w:val="Tabela-Siatka"/>
    <w:uiPriority w:val="39"/>
    <w:rPr>
      <w:rFonts w:eastAsia="Century Gothic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iatekstupodstawowego">
    <w:name w:val="Kopia tekstu podstawowego"/>
    <w:basedOn w:val="Normalny"/>
    <w:qFormat/>
    <w:rPr>
      <w:rFonts w:eastAsia="Century Gothic"/>
      <w:spacing w:val="8"/>
      <w:sz w:val="16"/>
      <w:szCs w:val="22"/>
      <w:lang w:val="pl-PL" w:eastAsia="en-US"/>
    </w:rPr>
  </w:style>
  <w:style w:type="table" w:customStyle="1" w:styleId="Comarch-Tabela">
    <w:name w:val="Comarch - Tabela"/>
    <w:basedOn w:val="Standardowy"/>
    <w:uiPriority w:val="99"/>
    <w:qFormat/>
    <w:pPr>
      <w:jc w:val="center"/>
    </w:pPr>
    <w:rPr>
      <w:rFonts w:ascii="Arial" w:eastAsia="Century Gothic" w:hAnsi="Arial"/>
      <w:sz w:val="18"/>
      <w:szCs w:val="22"/>
      <w:lang w:eastAsia="en-US"/>
    </w:rPr>
    <w:tblPr>
      <w:tblStyleRowBandSize w:val="1"/>
      <w:tblInd w:w="0" w:type="nil"/>
      <w:tblBorders>
        <w:insideH w:val="single" w:sz="8" w:space="0" w:color="FFFFFF"/>
      </w:tblBorders>
    </w:tblPr>
    <w:tcPr>
      <w:shd w:val="clear" w:color="auto" w:fill="5E5E5E"/>
      <w:vAlign w:val="center"/>
    </w:tcPr>
    <w:tblStylePr w:type="firstRow">
      <w:pPr>
        <w:wordWrap/>
        <w:spacing w:beforeLines="0" w:before="100" w:beforeAutospacing="1" w:afterLines="0" w:after="100" w:afterAutospacing="1"/>
        <w:jc w:val="center"/>
      </w:pPr>
      <w:rPr>
        <w:rFonts w:ascii="Arial" w:hAnsi="Arial" w:cs="Arial" w:hint="default"/>
        <w:b/>
        <w:sz w:val="20"/>
        <w:szCs w:val="20"/>
      </w:rPr>
      <w:tblPr/>
      <w:tcPr>
        <w:tcBorders>
          <w:insideV w:val="nil"/>
        </w:tcBorders>
        <w:shd w:val="clear" w:color="auto" w:fill="5E5E5E"/>
      </w:tcPr>
    </w:tblStylePr>
    <w:tblStylePr w:type="firstCol">
      <w:pPr>
        <w:wordWrap/>
        <w:ind w:rightChars="0" w:right="0"/>
        <w:jc w:val="center"/>
      </w:pPr>
      <w:rPr>
        <w:rFonts w:ascii="Arial" w:hAnsi="Arial" w:cs="Arial" w:hint="default"/>
        <w:b w:val="0"/>
      </w:rPr>
    </w:tblStylePr>
    <w:tblStylePr w:type="band1Horz">
      <w:tblPr/>
      <w:tcPr>
        <w:shd w:val="clear" w:color="auto" w:fill="FDFDFD"/>
      </w:tcPr>
    </w:tblStylePr>
    <w:tblStylePr w:type="band2Horz">
      <w:tblPr/>
      <w:tcPr>
        <w:tcBorders>
          <w:insideV w:val="nil"/>
        </w:tcBorders>
        <w:shd w:val="clear" w:color="auto" w:fill="F2F2F2"/>
      </w:tcPr>
    </w:tblStylePr>
  </w:style>
  <w:style xmlns:w="http://schemas.openxmlformats.org/wordprocessingml/2006/main" w:type="paragraph" w:styleId="Listapunktowana">
    <w:name w:val="List Bullet"/>
    <w:basedOn w:val="Normalny"/>
    <w:uiPriority w:val="1"/>
    <w:qFormat/>
    <w:pPr>
      <w:numPr>
        <w:numId w:val="2"/>
      </w:numPr>
      <w:spacing w:after="60" w:line="288" w:lineRule="auto"/>
    </w:pPr>
    <w:rPr>
      <w:color w:val="404040"/>
    </w:rPr>
  </w:style>
  <w:style w:type="table" w:customStyle="1" w:styleId="Tabelasiatki4akcent11">
    <w:name w:val="Tabela siatki 4 — akcent 11"/>
    <w:basedOn w:val="Standardowy"/>
    <w:uiPriority w:val="49"/>
    <w:rPr>
      <w:rFonts w:eastAsia="Century Gothic"/>
      <w:color w:val="404040"/>
      <w:sz w:val="18"/>
      <w:lang w:val="en-US" w:eastAsia="ja-JP"/>
    </w:rPr>
    <w:tblPr>
      <w:tblStyleRowBandSize w:val="1"/>
      <w:tblStyleColBandSize w:val="1"/>
      <w:tblBorders>
        <w:top w:val="single" w:sz="4" w:space="0" w:color="89B9D4"/>
        <w:left w:val="single" w:sz="4" w:space="0" w:color="89B9D4"/>
        <w:bottom w:val="single" w:sz="4" w:space="0" w:color="89B9D4"/>
        <w:right w:val="single" w:sz="4" w:space="0" w:color="89B9D4"/>
        <w:insideH w:val="single" w:sz="4" w:space="0" w:color="89B9D4"/>
        <w:insideV w:val="single" w:sz="4" w:space="0" w:color="89B9D4"/>
      </w:tblBorders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18AB3"/>
          <w:left w:val="single" w:sz="4" w:space="0" w:color="418AB3"/>
          <w:bottom w:val="single" w:sz="4" w:space="0" w:color="418AB3"/>
          <w:right w:val="single" w:sz="4" w:space="0" w:color="418AB3"/>
          <w:insideH w:val="nil"/>
          <w:insideV w:val="nil"/>
        </w:tcBorders>
        <w:shd w:val="clear" w:color="auto" w:fill="418AB3"/>
      </w:tcPr>
    </w:tblStylePr>
    <w:tblStylePr w:type="lastRow">
      <w:rPr>
        <w:b/>
        <w:bCs/>
      </w:rPr>
      <w:tblPr/>
      <w:tcPr>
        <w:tcBorders>
          <w:top w:val="double" w:sz="4" w:space="0" w:color="418AB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ProposalTable">
    <w:name w:val="Proposal Table"/>
    <w:basedOn w:val="Standardowy"/>
    <w:uiPriority w:val="99"/>
    <w:pPr>
      <w:spacing w:before="120"/>
    </w:pPr>
    <w:rPr>
      <w:rFonts w:eastAsia="Century Gothic"/>
      <w:color w:val="404040"/>
      <w:sz w:val="18"/>
      <w:lang w:val="en-US" w:eastAsia="ja-JP"/>
    </w:rPr>
    <w:tblPr>
      <w:tblBorders>
        <w:top w:val="single" w:sz="4" w:space="0" w:color="418AB3"/>
        <w:left w:val="single" w:sz="4" w:space="0" w:color="418AB3"/>
        <w:bottom w:val="single" w:sz="4" w:space="0" w:color="418AB3"/>
        <w:right w:val="single" w:sz="4" w:space="0" w:color="418AB3"/>
        <w:insideH w:val="single" w:sz="4" w:space="0" w:color="418AB3"/>
        <w:insideV w:val="single" w:sz="4" w:space="0" w:color="418AB3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7E7F0"/>
        <w:vAlign w:val="bottom"/>
      </w:tcPr>
    </w:tblStylePr>
    <w:tblStylePr w:type="lastRow">
      <w:rPr>
        <w:b/>
        <w:color w:val="FFFFFF"/>
      </w:rPr>
      <w:tblPr/>
      <w:tcPr>
        <w:shd w:val="clear" w:color="auto" w:fill="418AB3"/>
      </w:tcPr>
    </w:tblStylePr>
  </w:style>
  <w:style w:type="paragraph" w:customStyle="1" w:styleId="InfoBlue">
    <w:name w:val="InfoBlue"/>
    <w:basedOn w:val="Normalny"/>
    <w:next w:val="Tekstpodstawowy"/>
    <w:autoRedefine/>
    <w:pPr>
      <w:widowControl w:val="0"/>
      <w:tabs>
        <w:tab w:val="left" w:pos="1260"/>
      </w:tabs>
      <w:spacing w:line="240" w:lineRule="atLeast"/>
    </w:pPr>
    <w:rPr>
      <w:rFonts w:ascii="Times New Roman" w:eastAsia="Times New Roman" w:hAnsi="Times New Roman" w:cs="Times New Roman"/>
      <w:i/>
      <w:color w:val="0000FF"/>
      <w:sz w:val="20"/>
      <w:szCs w:val="20"/>
      <w:lang w:val="pl-PL" w:eastAsia="en-US"/>
    </w:rPr>
  </w:style>
  <w:style w:type="paragraph" w:styleId="Tekstpodstawowy">
    <w:name w:val="Body Text"/>
    <w:basedOn w:val="Normalny"/>
    <w:link w:val="TekstpodstawowyZnak"/>
    <w:uiPriority w:val="99"/>
    <w:semiHidden/>
    <w:unhideWhenUsed/>
  </w:style>
  <w:style w:type="character" w:customStyle="1" w:styleId="TekstpodstawowyZnak">
    <w:name w:val="Tekst podstawowy Znak"/>
    <w:basedOn w:val="Domylnaczcionkaakapitu"/>
    <w:link w:val="Tekstpodstawowy"/>
    <w:uiPriority w:val="99"/>
    <w:semiHidden/>
  </w:style>
  <w:style w:type="character" w:customStyle="1" w:styleId="Nierozpoznanawzmianka1">
    <w:name w:val="Nierozpoznana wzmianka1"/>
    <w:uiPriority w:val="99"/>
    <w:semiHidden/>
    <w:unhideWhenUsed/>
    <w:rPr>
      <w:color w:val="605E5C"/>
      <w:shd w:val="clear" w:color="auto" w:fill="E1DFDD"/>
    </w:rPr>
  </w:style>
  <w:style w:type="character" w:styleId="UyteHipercze">
    <w:name w:val="FollowedHyperlink"/>
    <w:uiPriority w:val="99"/>
    <w:semiHidden/>
    <w:unhideWhenUsed/>
    <w:rPr>
      <w:color w:val="B2B2B2"/>
      <w:u w:val="single"/>
    </w:rPr>
  </w:style>
  <w:style w:type="character" w:styleId="Odwoaniedokomentarza">
    <w:name w:val="annotation reference"/>
    <w:uiPriority w:val="99"/>
    <w:semiHidden/>
    <w:unhideWhenUsed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Pr>
      <w:rFonts w:cs="Times New Roman"/>
      <w:sz w:val="20"/>
      <w:szCs w:val="20"/>
      <w:lang w:val="x-none" w:eastAsia="x-none"/>
    </w:rPr>
  </w:style>
  <w:style w:type="character" w:customStyle="1" w:styleId="TekstkomentarzaZnak">
    <w:name w:val="Tekst komentarza Znak"/>
    <w:link w:val="Tekstkomentarza"/>
    <w:uiPriority w:val="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Pr>
      <w:b/>
      <w:bCs/>
      <w:sz w:val="20"/>
      <w:szCs w:val="20"/>
    </w:rPr>
  </w:style>
  <w:style xmlns:w="http://schemas.openxmlformats.org/wordprocessingml/2006/main" w:type="paragraph" w:styleId="Spisilustracji">
    <w:name w:val="table of figures"/>
    <w:basedOn w:val="Normalny"/>
    <w:next w:val="Normalny"/>
    <w:uiPriority w:val="99"/>
    <w:unhideWhenUsed/>
    <w:pPr>
      <w:tabs>
        <w:tab w:val="right" w:leader="dot" w:pos="9017"/>
      </w:tabs>
      <w:spacing w:after="40" w:line="240" w:lineRule="auto"/>
      <w:jc w:val="left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rFonts w:cs="Times New Roman"/>
      <w:sz w:val="20"/>
      <w:szCs w:val="20"/>
      <w:lang w:val="x-none" w:eastAsia="x-none"/>
    </w:rPr>
  </w:style>
  <w:style w:type="character" w:customStyle="1" w:styleId="TekstprzypisukocowegoZnak">
    <w:name w:val="Tekst przypisu końcowego Znak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Poprawka">
    <w:name w:val="Revision"/>
    <w:hidden/>
    <w:uiPriority w:val="99"/>
    <w:semiHidden/>
    <w:rPr>
      <w:sz w:val="21"/>
      <w:szCs w:val="21"/>
      <w:lang w:val="cs-CZ" w:eastAsia="cs-CZ"/>
    </w:r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ierozpoznanawzmianka2">
    <w:name w:val="Nierozpoznana wzmianka2"/>
    <w:uiPriority w:val="99"/>
    <w:semiHidden/>
    <w:unhideWhenUsed/>
    <w:rPr>
      <w:color w:val="605E5C"/>
      <w:shd w:val="clear" w:color="auto" w:fill="E1DFDD"/>
    </w:rPr>
  </w:style>
  <w:style w:type="table" w:customStyle="1" w:styleId="Tabelasiatki5ciemnaakcent21">
    <w:name w:val="Tabela siatki 5 — ciemna — akcent 21"/>
    <w:basedOn w:val="Standardowy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0F5C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6B72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6B727"/>
      </w:tcPr>
    </w:tblStylePr>
    <w:tblStylePr w:type="band1Vert">
      <w:tblPr/>
      <w:tcPr>
        <w:shd w:val="clear" w:color="auto" w:fill="E1EA9F"/>
      </w:tcPr>
    </w:tblStylePr>
    <w:tblStylePr w:type="band1Horz">
      <w:tblPr/>
      <w:tcPr>
        <w:shd w:val="clear" w:color="auto" w:fill="E1EA9F"/>
      </w:tcPr>
    </w:tblStylePr>
  </w:style>
  <w:style w:type="table" w:customStyle="1" w:styleId="Tabelalisty3akcent21">
    <w:name w:val="Tabela listy 3 — akcent 21"/>
    <w:basedOn w:val="Standardowy"/>
    <w:uiPriority w:val="48"/>
    <w:tblPr>
      <w:tblStyleRowBandSize w:val="1"/>
      <w:tblStyleColBandSize w:val="1"/>
      <w:tblBorders>
        <w:top w:val="single" w:sz="4" w:space="0" w:color="A6B727"/>
        <w:left w:val="single" w:sz="4" w:space="0" w:color="A6B727"/>
        <w:bottom w:val="single" w:sz="4" w:space="0" w:color="A6B727"/>
        <w:right w:val="single" w:sz="4" w:space="0" w:color="A6B727"/>
      </w:tblBorders>
    </w:tblPr>
    <w:tblStylePr w:type="firstRow">
      <w:rPr>
        <w:b/>
        <w:bCs/>
        <w:color w:val="FFFFFF"/>
      </w:rPr>
      <w:tblPr/>
      <w:tcPr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6B727"/>
          <w:right w:val="single" w:sz="4" w:space="0" w:color="A6B727"/>
        </w:tcBorders>
      </w:tcPr>
    </w:tblStylePr>
    <w:tblStylePr w:type="band1Horz">
      <w:tblPr/>
      <w:tcPr>
        <w:tcBorders>
          <w:top w:val="single" w:sz="4" w:space="0" w:color="A6B727"/>
          <w:bottom w:val="single" w:sz="4" w:space="0" w:color="A6B72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/>
          <w:left w:val="nil"/>
        </w:tcBorders>
      </w:tcPr>
    </w:tblStylePr>
    <w:tblStylePr w:type="swCell">
      <w:tblPr/>
      <w:tcPr>
        <w:tcBorders>
          <w:top w:val="double" w:sz="4" w:space="0" w:color="A6B727"/>
          <w:right w:val="nil"/>
        </w:tcBorders>
      </w:tcPr>
    </w:tblStylePr>
  </w:style>
  <w:style w:type="table" w:customStyle="1" w:styleId="Tabelalisty4akcent21">
    <w:name w:val="Tabela listy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7kolorowaakcent21">
    <w:name w:val="Tabela listy 7 — kolorowa — akcent 21"/>
    <w:basedOn w:val="Standardowy"/>
    <w:uiPriority w:val="52"/>
    <w:rPr>
      <w:color w:val="7B881D"/>
    </w:rPr>
    <w:tblPr>
      <w:tblStyleRowBandSize w:val="1"/>
      <w:tblStyleColBandSize w:val="1"/>
    </w:tblPr>
    <w:tblStylePr w:type="firstRow">
      <w:rPr>
        <w:rFonts w:ascii="Open Sans" w:eastAsia="MS Gothic" w:hAnsi="Open Sans" w:cs="Segoe UI"/>
        <w:i/>
        <w:iCs/>
        <w:sz w:val="26"/>
      </w:rPr>
      <w:tblPr/>
      <w:tcPr>
        <w:tcBorders>
          <w:bottom w:val="single" w:sz="4" w:space="0" w:color="A6B727"/>
        </w:tcBorders>
        <w:shd w:val="clear" w:color="auto" w:fill="FFFFFF"/>
      </w:tcPr>
    </w:tblStylePr>
    <w:tblStylePr w:type="lastRow">
      <w:rPr>
        <w:rFonts w:ascii="Open Sans" w:eastAsia="MS Gothic" w:hAnsi="Open Sans" w:cs="Segoe UI"/>
        <w:i/>
        <w:iCs/>
        <w:sz w:val="26"/>
      </w:rPr>
      <w:tblPr/>
      <w:tcPr>
        <w:tcBorders>
          <w:top w:val="single" w:sz="4" w:space="0" w:color="A6B727"/>
        </w:tcBorders>
        <w:shd w:val="clear" w:color="auto" w:fill="FFFFFF"/>
      </w:tcPr>
    </w:tblStylePr>
    <w:tblStylePr w:type="firstCol">
      <w:pPr>
        <w:jc w:val="right"/>
      </w:pPr>
      <w:rPr>
        <w:rFonts w:ascii="Open Sans" w:eastAsia="MS Gothic" w:hAnsi="Open Sans" w:cs="Segoe UI"/>
        <w:i/>
        <w:iCs/>
        <w:sz w:val="26"/>
      </w:rPr>
      <w:tblPr/>
      <w:tcPr>
        <w:tcBorders>
          <w:right w:val="single" w:sz="4" w:space="0" w:color="A6B727"/>
        </w:tcBorders>
        <w:shd w:val="clear" w:color="auto" w:fill="FFFFFF"/>
      </w:tcPr>
    </w:tblStylePr>
    <w:tblStylePr w:type="lastCol">
      <w:rPr>
        <w:rFonts w:ascii="Open Sans" w:eastAsia="MS Gothic" w:hAnsi="Open Sans" w:cs="Segoe UI"/>
        <w:i/>
        <w:iCs/>
        <w:sz w:val="26"/>
      </w:rPr>
      <w:tblPr/>
      <w:tcPr>
        <w:tcBorders>
          <w:left w:val="single" w:sz="4" w:space="0" w:color="A6B727"/>
        </w:tcBorders>
        <w:shd w:val="clear" w:color="auto" w:fill="FFFFFF"/>
      </w:tc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atki6kolorowaakcent21">
    <w:name w:val="Tabela siatki 6 — kolorowa — akcent 21"/>
    <w:basedOn w:val="Standardowy"/>
    <w:uiPriority w:val="51"/>
    <w:rPr>
      <w:color w:val="7B881D"/>
    </w:rPr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</w:rPr>
      <w:tblPr/>
      <w:tcPr>
        <w:tcBorders>
          <w:bottom w:val="single" w:sz="12" w:space="0" w:color="D3E070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1jasnaakcent21">
    <w:name w:val="Tabela listy 1 — jasna — akcent 21"/>
    <w:basedOn w:val="Standardowy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siatki2akcent11">
    <w:name w:val="Tabela siatki 2 — akcent 11"/>
    <w:basedOn w:val="Standardowy"/>
    <w:uiPriority w:val="47"/>
    <w:tblPr>
      <w:tblStyleRowBandSize w:val="1"/>
      <w:tblStyleColBandSize w:val="1"/>
      <w:tblBorders>
        <w:top w:val="single" w:sz="2" w:space="0" w:color="89B9D4"/>
        <w:bottom w:val="single" w:sz="2" w:space="0" w:color="89B9D4"/>
        <w:insideH w:val="single" w:sz="2" w:space="0" w:color="89B9D4"/>
        <w:insideV w:val="single" w:sz="2" w:space="0" w:color="89B9D4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9B9D4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Tabelasiatki4akcent51">
    <w:name w:val="Tabela siatki 4 — akcent 51"/>
    <w:basedOn w:val="Standardowy"/>
    <w:uiPriority w:val="49"/>
    <w:tblPr>
      <w:tblStyleRowBandSize w:val="1"/>
      <w:tblStyleColBandSize w:val="1"/>
      <w:tblBorders>
        <w:top w:val="single" w:sz="4" w:space="0" w:color="FEDA69"/>
        <w:left w:val="single" w:sz="4" w:space="0" w:color="FEDA69"/>
        <w:bottom w:val="single" w:sz="4" w:space="0" w:color="FEDA69"/>
        <w:right w:val="single" w:sz="4" w:space="0" w:color="FEDA69"/>
        <w:insideH w:val="single" w:sz="4" w:space="0" w:color="FEDA69"/>
        <w:insideV w:val="single" w:sz="4" w:space="0" w:color="FEDA6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EC306"/>
          <w:left w:val="single" w:sz="4" w:space="0" w:color="FEC306"/>
          <w:bottom w:val="single" w:sz="4" w:space="0" w:color="FEC306"/>
          <w:right w:val="single" w:sz="4" w:space="0" w:color="FEC306"/>
          <w:insideH w:val="nil"/>
          <w:insideV w:val="nil"/>
        </w:tcBorders>
        <w:shd w:val="clear" w:color="auto" w:fill="FEC306"/>
      </w:tcPr>
    </w:tblStylePr>
    <w:tblStylePr w:type="lastRow">
      <w:rPr>
        <w:b/>
        <w:bCs/>
      </w:rPr>
      <w:tblPr/>
      <w:tcPr>
        <w:tcBorders>
          <w:top w:val="double" w:sz="4" w:space="0" w:color="FEC30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/>
      </w:tcPr>
    </w:tblStylePr>
    <w:tblStylePr w:type="band1Horz">
      <w:tblPr/>
      <w:tcPr>
        <w:shd w:val="clear" w:color="auto" w:fill="FEF2CD"/>
      </w:tcPr>
    </w:tblStylePr>
  </w:style>
  <w:style w:type="table" w:customStyle="1" w:styleId="Tabelasiatki4akcent41">
    <w:name w:val="Tabela siatki 4 — akcent 41"/>
    <w:basedOn w:val="Standardowy"/>
    <w:uiPriority w:val="49"/>
    <w:tblPr>
      <w:tblStyleRowBandSize w:val="1"/>
      <w:tblStyleColBandSize w:val="1"/>
      <w:tblBorders>
        <w:top w:val="single" w:sz="4" w:space="0" w:color="B4B4B4"/>
        <w:left w:val="single" w:sz="4" w:space="0" w:color="B4B4B4"/>
        <w:bottom w:val="single" w:sz="4" w:space="0" w:color="B4B4B4"/>
        <w:right w:val="single" w:sz="4" w:space="0" w:color="B4B4B4"/>
        <w:insideH w:val="single" w:sz="4" w:space="0" w:color="B4B4B4"/>
        <w:insideV w:val="single" w:sz="4" w:space="0" w:color="B4B4B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38383"/>
          <w:left w:val="single" w:sz="4" w:space="0" w:color="838383"/>
          <w:bottom w:val="single" w:sz="4" w:space="0" w:color="838383"/>
          <w:right w:val="single" w:sz="4" w:space="0" w:color="838383"/>
          <w:insideH w:val="nil"/>
          <w:insideV w:val="nil"/>
        </w:tcBorders>
        <w:shd w:val="clear" w:color="auto" w:fill="838383"/>
      </w:tcPr>
    </w:tblStylePr>
    <w:tblStylePr w:type="lastRow">
      <w:rPr>
        <w:b/>
        <w:bCs/>
      </w:rPr>
      <w:tblPr/>
      <w:tcPr>
        <w:tcBorders>
          <w:top w:val="double" w:sz="4" w:space="0" w:color="8383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customStyle="1" w:styleId="Tabelasiatki41">
    <w:name w:val="Tabela siatki 41"/>
    <w:basedOn w:val="Standardowy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siatki4akcent21">
    <w:name w:val="Tabela siatki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paragraph" w:customStyle="1" w:styleId="pqiText">
    <w:name w:val="pqiText"/>
    <w:link w:val="pqiTextZnak1"/>
    <w:pPr>
      <w:spacing w:after="140" w:line="320" w:lineRule="atLeast"/>
    </w:pPr>
    <w:rPr>
      <w:rFonts w:ascii="Arial" w:eastAsia="Times New Roman" w:hAnsi="Arial" w:cs="Times New Roman"/>
      <w:sz w:val="22"/>
    </w:rPr>
  </w:style>
  <w:style w:type="character" w:customStyle="1" w:styleId="pqiTextZnak1">
    <w:name w:val="pqiText Znak1"/>
    <w:link w:val="pqiText"/>
    <w:rPr>
      <w:rFonts w:ascii="Arial" w:eastAsia="Times New Roman" w:hAnsi="Arial" w:cs="Times New Roman"/>
      <w:sz w:val="22"/>
      <w:lang w:val="pl-PL" w:eastAsia="pl-PL" w:bidi="ar-SA"/>
    </w:rPr>
  </w:style>
  <w:style w:type="character" w:customStyle="1" w:styleId="Nierozpoznanawzmianka3">
    <w:name w:val="Nierozpoznana wzmianka3"/>
    <w:uiPriority w:val="99"/>
    <w:semiHidden/>
    <w:unhideWhenUsed/>
    <w:rPr>
      <w:color w:val="605E5C"/>
      <w:shd w:val="clear" w:color="auto" w:fill="E1DFDD"/>
    </w:rPr>
  </w:style>
  <w:style w:type="paragraph" w:styleId="Spistreci40">
    <w:name w:val="toc 4"/>
    <w:basedOn w:val="Normalny"/>
    <w:next w:val="Normalny"/>
    <w:autoRedefine/>
    <w:uiPriority w:val="39"/>
    <w:unhideWhenUsed/>
    <w:pPr>
      <w:spacing w:after="100" w:line="259" w:lineRule="auto"/>
      <w:ind w:left="660"/>
    </w:pPr>
    <w:rPr>
      <w:sz w:val="22"/>
      <w:szCs w:val="22"/>
      <w:lang w:val="pl-PL" w:eastAsia="pl-PL"/>
    </w:rPr>
  </w:style>
  <w:style w:type="paragraph" w:styleId="Spistreci5">
    <w:name w:val="toc 5"/>
    <w:basedOn w:val="Normalny"/>
    <w:next w:val="Normalny"/>
    <w:autoRedefine/>
    <w:uiPriority w:val="39"/>
    <w:unhideWhenUsed/>
    <w:pPr>
      <w:spacing w:after="100" w:line="259" w:lineRule="auto"/>
      <w:ind w:left="880"/>
    </w:pPr>
    <w:rPr>
      <w:sz w:val="22"/>
      <w:szCs w:val="22"/>
      <w:lang w:val="pl-PL" w:eastAsia="pl-PL"/>
    </w:rPr>
  </w:style>
  <w:style w:type="paragraph" w:styleId="Spistreci6">
    <w:name w:val="toc 6"/>
    <w:basedOn w:val="Normalny"/>
    <w:next w:val="Normalny"/>
    <w:autoRedefine/>
    <w:uiPriority w:val="39"/>
    <w:unhideWhenUsed/>
    <w:pPr>
      <w:spacing w:after="100" w:line="259" w:lineRule="auto"/>
      <w:ind w:left="1100"/>
    </w:pPr>
    <w:rPr>
      <w:sz w:val="22"/>
      <w:szCs w:val="22"/>
      <w:lang w:val="pl-PL" w:eastAsia="pl-PL"/>
    </w:rPr>
  </w:style>
  <w:style w:type="paragraph" w:styleId="Spistreci7">
    <w:name w:val="toc 7"/>
    <w:basedOn w:val="Normalny"/>
    <w:next w:val="Normalny"/>
    <w:autoRedefine/>
    <w:uiPriority w:val="39"/>
    <w:unhideWhenUsed/>
    <w:pPr>
      <w:spacing w:after="100" w:line="259" w:lineRule="auto"/>
      <w:ind w:left="1320"/>
    </w:pPr>
    <w:rPr>
      <w:sz w:val="22"/>
      <w:szCs w:val="22"/>
      <w:lang w:val="pl-PL" w:eastAsia="pl-PL"/>
    </w:rPr>
  </w:style>
  <w:style w:type="paragraph" w:styleId="Spistreci8">
    <w:name w:val="toc 8"/>
    <w:basedOn w:val="Normalny"/>
    <w:next w:val="Normalny"/>
    <w:autoRedefine/>
    <w:uiPriority w:val="39"/>
    <w:unhideWhenUsed/>
    <w:pPr>
      <w:spacing w:after="100" w:line="259" w:lineRule="auto"/>
      <w:ind w:left="1540"/>
    </w:pPr>
    <w:rPr>
      <w:sz w:val="22"/>
      <w:szCs w:val="22"/>
      <w:lang w:val="pl-PL" w:eastAsia="pl-PL"/>
    </w:rPr>
  </w:style>
  <w:style w:type="paragraph" w:styleId="Spistreci9">
    <w:name w:val="toc 9"/>
    <w:basedOn w:val="Normalny"/>
    <w:next w:val="Normalny"/>
    <w:autoRedefine/>
    <w:uiPriority w:val="39"/>
    <w:unhideWhenUsed/>
    <w:pPr>
      <w:spacing w:after="100" w:line="259" w:lineRule="auto"/>
      <w:ind w:left="1760"/>
    </w:pPr>
    <w:rPr>
      <w:sz w:val="22"/>
      <w:szCs w:val="22"/>
      <w:lang w:val="pl-PL" w:eastAsia="pl-PL"/>
    </w:rPr>
  </w:style>
  <w:style w:type="table" w:customStyle="1" w:styleId="Tabela-Siatka2">
    <w:name w:val="Tabela - Siatka2"/>
    <w:basedOn w:val="Standardowy"/>
    <w:next w:val="Tabela-Siatka"/>
    <w:uiPriority w:val="3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2akcent41">
    <w:name w:val="Tabela siatki 2 — akcent 41"/>
    <w:basedOn w:val="Standardowy"/>
    <w:uiPriority w:val="4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Nierozpoznanawzmianka4">
    <w:name w:val="Nierozpoznana wzmianka4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ny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pl-PL" w:eastAsia="pl-PL"/>
    </w:rPr>
  </w:style>
  <w:style w:type="table" w:customStyle="1" w:styleId="Tabelasiatki4akcent62">
    <w:name w:val="Tabela siatki 4 — akcent 62"/>
    <w:basedOn w:val="Standardowy"/>
    <w:uiPriority w:val="49"/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ierozpoznanawzmianka">
    <w:name w:val="Unresolved Mention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pqiListNomNum1">
    <w:name w:val="pqiListNomNum1"/>
    <w:link w:val="pqiListNomNum1Znak"/>
    <w:pPr>
      <w:numPr>
        <w:numId w:val="8"/>
      </w:numPr>
      <w:spacing w:after="60" w:line="320" w:lineRule="atLeast"/>
    </w:pPr>
    <w:rPr>
      <w:rFonts w:ascii="Arial" w:eastAsia="Times New Roman" w:hAnsi="Arial" w:cs="Times New Roman"/>
      <w:sz w:val="22"/>
    </w:rPr>
  </w:style>
  <w:style w:type="character" w:customStyle="1" w:styleId="pqiListNomNum1Znak">
    <w:name w:val="pqiListNomNum1 Znak"/>
    <w:link w:val="pqiListNomNum1"/>
    <w:rPr>
      <w:rFonts w:ascii="Arial" w:eastAsia="Times New Roman" w:hAnsi="Arial" w:cs="Times New Roman"/>
      <w:sz w:val="22"/>
    </w:rPr>
  </w:style>
  <w:style xmlns:w="http://schemas.openxmlformats.org/wordprocessingml/2006/main" w:type="paragraph" w:customStyle="1" w:styleId="Tekstabeli">
    <w:name w:val="Tekst tabeli"/>
    <w:basedOn w:val="Normalny"/>
    <w:qFormat/>
    <w:pPr>
      <w:spacing w:before="40" w:after="40" w:line="240" w:lineRule="auto"/>
      <w:jc w:val="left"/>
    </w:pPr>
    <w:rPr>
      <w:color w:val="404040"/>
      <w:sz w:val="18"/>
      <w:szCs w:val="18"/>
    </w:rPr>
  </w:style>
  <w:style xmlns:w="http://schemas.openxmlformats.org/wordprocessingml/2006/main" w:type="paragraph" w:customStyle="1" w:styleId="Metryka">
    <w:name w:val="Metryka dokumentu"/>
    <w:basedOn w:val="Normalny"/>
    <w:qFormat/>
    <w:pPr>
      <w:spacing w:before="40" w:after="40" w:line="300" w:lineRule="auto"/>
      <w:jc w:val="left"/>
    </w:pPr>
    <w:rPr>
      <w:sz w:val="20"/>
      <w:szCs w:val="20"/>
    </w:rPr>
  </w:style>
  <w:style xmlns:w="http://schemas.openxmlformats.org/wordprocessingml/2006/main" w:type="paragraph" w:customStyle="1" w:styleId="Tytulanalizy">
    <w:name w:val="Tytuł analizy"/>
    <w:basedOn w:val="Normalny"/>
    <w:qFormat/>
    <w:pPr>
      <w:spacing w:before="120" w:after="120" w:line="240" w:lineRule="auto"/>
      <w:jc w:val="center"/>
    </w:pPr>
    <w:rPr>
      <w:color w:val="306785"/>
      <w:spacing w:val="-7"/>
      <w:sz w:val="48"/>
      <w:szCs w:val="48"/>
    </w:rPr>
  </w:style>
  <w:style xmlns:w="http://schemas.openxmlformats.org/wordprocessingml/2006/main" w:type="paragraph" w:customStyle="1" w:styleId="Obszaranalizy">
    <w:name w:val="Obszar analizy"/>
    <w:basedOn w:val="Tytulanalizy"/>
    <w:qFormat/>
    <w:rPr>
      <w:sz w:val="40"/>
      <w:szCs w:val="40"/>
    </w:rPr>
  </w:style>
  <w:style xmlns:w="http://schemas.openxmlformats.org/wordprocessingml/2006/main" w:type="paragraph" w:customStyle="1" w:styleId="Klauzula">
    <w:name w:val="Klauzula poufności"/>
    <w:basedOn w:val="Normalny"/>
    <w:qFormat/>
    <w:pPr>
      <w:spacing w:before="240" w:line="240" w:lineRule="auto"/>
    </w:pPr>
    <w:rPr>
      <w:i/>
      <w:color w:val="595959"/>
      <w:sz w:val="16"/>
      <w:szCs w:val="16"/>
    </w:rPr>
  </w:style>
  <w:style xmlns:w="http://schemas.openxmlformats.org/wordprocessingml/2006/main" w:type="paragraph" w:customStyle="1" w:styleId="Sekcjaopcjonalna">
    <w:name w:val="Sekcja opcjonalna"/>
    <w:basedOn w:val="Normalny"/>
    <w:next w:val="Normalny"/>
    <w:qFormat/>
    <w:pPr>
      <w:keepNext/>
      <w:shd w:val="clear" w:color="auto" w:fill="F2F2F2"/>
      <w:spacing w:before="60" w:after="60" w:line="240" w:lineRule="auto"/>
      <w:jc w:val="left"/>
    </w:pPr>
    <w:rPr>
      <w:b/>
      <w:i/>
      <w:color w:val="7F7F7F"/>
      <w:sz w:val="18"/>
      <w:szCs w:val="18"/>
    </w:rPr>
  </w:style>
  <w:style xmlns:w="http://schemas.openxmlformats.org/wordprocessingml/2006/main" w:type="character" w:customStyle="1" w:styleId="PoledoUzupelnienia">
    <w:name w:val="Pole do uzupełnienia"/>
    <w:uiPriority w:val="1"/>
    <w:qFormat/>
    <w:rPr>
      <w:shd w:val="clear" w:color="auto" w:fill="FFFF00"/>
    </w:rPr>
  </w:style>
</w:styles>
</file>

<file path=word/_rels/document.xml.rels><?xml version="1.0" encoding="UTF-8" standalone="yes"?>
<Relationships xmlns="http://schemas.openxmlformats.org/package/2006/relationships"><Relationship Id="rIdStyle" Type="http://schemas.openxmlformats.org/officeDocument/2006/relationships/styles" Target="styles.xml"/><Relationship Id="rIdNumeracja" Type="http://schemas.openxmlformats.org/officeDocument/2006/relationships/numbering" Target="numbering.xml"/><Relationship Id="rIdUstawienia" Type="http://schemas.openxmlformats.org/officeDocument/2006/relationships/settings" Target="settings.xml"/><Relationship Id="rIdCzcionki" Type="http://schemas.openxmlformats.org/officeDocument/2006/relationships/fontTable" Target="fontTable.xml"/><Relationship Id="rIdMotyw" Type="http://schemas.openxmlformats.org/officeDocument/2006/relationships/theme" Target="theme/theme1.xml"/><Relationship Id="rIdNaglowek" Type="http://schemas.openxmlformats.org/officeDocument/2006/relationships/header" Target="header1.xml"/><Relationship Id="rIdNaglowekPierwszy" Type="http://schemas.openxmlformats.org/officeDocument/2006/relationships/header" Target="header2.xml"/><Relationship Id="rIdStopka" Type="http://schemas.openxmlformats.org/officeDocument/2006/relationships/footer" Target="footer1.xml"/><Relationship Id="rIdObraz100" Type="http://schemas.openxmlformats.org/officeDocument/2006/relationships/image" Target="media/obraz1.png"/><Relationship Id="rIdObraz101" Type="http://schemas.openxmlformats.org/officeDocument/2006/relationships/image" Target="media/obraz2.png"/><Relationship Id="rIdObraz102" Type="http://schemas.openxmlformats.org/officeDocument/2006/relationships/image" Target="media/obraz3.png"/><Relationship Id="rIdObraz103" Type="http://schemas.openxmlformats.org/officeDocument/2006/relationships/image" Target="media/obraz4.png"/><Relationship Id="rIdObraz104" Type="http://schemas.openxmlformats.org/officeDocument/2006/relationships/image" Target="media/obraz5.png"/></Relationships>
</file>

<file path=word/_rels/header1.xml.rels><?xml version="1.0" encoding="UTF-8" standalone="yes"?>
<Relationships xmlns="http://schemas.openxmlformats.org/package/2006/relationships"><Relationship Id="rIdObraz100" Type="http://schemas.openxmlformats.org/officeDocument/2006/relationships/image" Target="media/logo_naglowek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  <Company>Alt One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ANALIZA PRZEDWDROŻENIOWA – Obszar: Kadry, Płace i Czas pracy</dc:title>
  <dc:subject>Wzór dokumentu głównego analizy przedwdrożeniowej enova365 – Kadry, Płace, Czas pracy</dc:subject>
  <dc:creator>Wzór analizy KPCP</dc:creator>
  <cp:lastModifiedBy>Wzór analizy KPCP</cp:lastModifiedBy>
  <dcterms:created xsi:type="dcterms:W3CDTF">2026-10-20T09:14:13Z</dcterms:created>
  <dcterms:modified xsi:type="dcterms:W3CDTF">2026-10-20T09:14:13Z</dcterms:modified>
</cp:coreProperties>
</file>