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ZAŁĄCZNIK NR 1 DO ANALIZY PRZEDWDROŻENIOWEJ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Obszar: Kadry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 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 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Wzor_ZAL_01_Kadry_KPCP.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Kadry</w:t>
      </w:r>
    </w:p>
    <w:p>
      <w:pPr>
        <w:pStyle w:val="Nagwek2"/>
      </w:pPr>
      <w:r>
        <w:t xml:space="preserve">Charakterystyka kadr</w:t>
      </w:r>
    </w:p>
    <w:p>
      <w:pPr>
        <w:pStyle w:val="Normalny"/>
      </w:pPr>
      <w:r>
        <w:t xml:space="preserve">System enova365 umożliwia ewidencję wszelkich danych kadrowych pracowników oraz zleceniobiorców uwarunkowanych przepisami w tym zakresie. Są to między innymi:</w:t>
      </w:r>
    </w:p>
    <w:p>
      <w:pPr>
        <w:pStyle w:val="Listapunktowana"/>
      </w:pPr>
      <w:r>
        <w:t xml:space="preserve">dane personalne pracownika i zleceniobiorcy (imiona, nazwisko, PESEL, data urodzenia, obywatelstwo, narodowość);</w:t>
      </w:r>
    </w:p>
    <w:p>
      <w:pPr>
        <w:pStyle w:val="Listapunktowana"/>
      </w:pPr>
      <w:r>
        <w:t xml:space="preserve">adresy pracownika (zameldowania, zamieszkania, korespondencyjny, adresy do pracy zdalnej);</w:t>
      </w:r>
    </w:p>
    <w:p>
      <w:pPr>
        <w:pStyle w:val="Listapunktowana"/>
      </w:pPr>
      <w:r>
        <w:t xml:space="preserve">historia zatrudnienia – poprzednie miejsca pracy i zajmowane stanowiska z datami od–do, wyliczeniem okresu poprzedniego zatrudnienia i możliwością oznaczenia okresu do stażu ogółem i do stażu w firmie, z uwzględnieniem wykorzystania w roku zatrudnienia urlopu wypoczynkowego (w tym na żądanie), opieki z art. 188 KP, wynagrodzenia chorobowego, zasiłku opiekuńczego, zwolnienia z powodu siły wyższej i urlopu opiekuńczego, a także informacji o wykorzystaniu urlopu rodzicielskiego, ojcowskiego, wychowawczego i bezpłatnego oraz podstawie prawnej rozwiązania umowy; możliwość wpisania okresów zaliczanych do stażu pracy na podstawie przepisów szczególnych;</w:t>
      </w:r>
    </w:p>
    <w:p>
      <w:pPr>
        <w:pStyle w:val="Listapunktowana"/>
      </w:pPr>
      <w:r>
        <w:t xml:space="preserve">wykształcenie (szkoła, kierunek, tytuł, daty rozpoczęcia i zakończenia, wyliczenie lat do urlopu wypoczynkowego);</w:t>
      </w:r>
    </w:p>
    <w:p>
      <w:pPr>
        <w:pStyle w:val="Listapunktowana"/>
      </w:pPr>
      <w:r>
        <w:t xml:space="preserve">członkowie rodziny (w przypadku korzystania z uprawnień związanych z posiadaniem członków rodziny) wraz ze zgłoszeniem do ubezpieczenia zdrowotnego;</w:t>
      </w:r>
    </w:p>
    <w:p>
      <w:pPr>
        <w:pStyle w:val="Listapunktowana"/>
      </w:pPr>
      <w:r>
        <w:t xml:space="preserve">dane do ubezpieczenia: oddział NFZ, niepełnosprawność, status emeryta lub rencisty, kod tytułu ubezpieczenia, daty zgłoszenia i wyrejestrowania;</w:t>
      </w:r>
    </w:p>
    <w:p>
      <w:pPr>
        <w:pStyle w:val="Listapunktowana"/>
      </w:pPr>
      <w:r>
        <w:t xml:space="preserve">warunki zatrudnienia – rodzaj umowy, okres zatrudnienia, stanowisko, wymiar etatu, dodatkowe elementy płacowe wraz z historią zmian w trakcie zatrudnienia (aneksy z datą obowiązywania zmian), umowy cywilnoprawne;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dodatkowe dane ewidencjonowane przez Klienta – lub usuń]</w:t>
      </w:r>
      <w:r>
        <w:t xml:space="preserve">.</w:t>
      </w:r>
    </w:p>
    <w:p>
      <w:pPr>
        <w:pStyle w:val="Normalny"/>
      </w:pPr>
      <w:r>
        <w:t xml:space="preserve">W części kadrowej systemu przechowywana jest pełna informacja o danych personalnych zatrudnionych pracowników oraz zleceniobiorców, o zatrudnieniu, czasie pracy i nieobecnościach. Odnotowane zmiany w gromadzonych danych automatycznie tworzą historię zatrudnienia pracownika. </w:t>
      </w:r>
      <w:r>
        <w:rPr>
          <w:rStyle w:val="PoledoUzupelnienia"/>
          <w:highlight w:val="yellow"/>
        </w:rPr>
        <w:t xml:space="preserve">[DO UZUPEŁNIENIA: inne grupy osób ewidencjonowanych w kartotekach, np. praktykanci, przełożeni zewnętrzni, emeryci i renciści do świadczeń socjalnych, osoby pobierające renty wyrównawcze – lub usuń]</w:t>
      </w:r>
    </w:p>
    <w:p>
      <w:pPr>
        <w:pStyle w:val="Normalny"/>
      </w:pPr>
      <w:r>
        <w:t xml:space="preserve">Ze względu na aktualny charakter zatrudnienia informacja o zatrudnionych osobach wyświetlana jest na listach:</w:t>
      </w:r>
    </w:p>
    <w:p>
      <w:pPr>
        <w:keepNext/>
        <w:jc w:val="center"/>
      </w:pPr>
      <w:r>
        <w:drawing>
          <wp:inline distT="0" distB="0" distL="0" distR="0">
            <wp:extent cx="2628900" cy="6315075"/>
            <wp:docPr id="12" name="Obraz 12" descr="kadry_lista_folderow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kadry_lista_folderow.png"/>
                    <pic:cNvPicPr/>
                  </pic:nvPicPr>
                  <pic:blipFill>
                    <a:blip r:embed="rIdObraz102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Dostępne listy modułu Kadry</w:t>
      </w:r>
    </w:p>
    <w:p>
      <w:pPr>
        <w:pStyle w:val="Normalny"/>
      </w:pPr>
      <w:r>
        <w:t xml:space="preserve">Bez względu na to, czy pracownik jest zatrudniony na podstawie umowy o pracę, czy umowy cywilnoprawnej, dane są przechowywane w jednej kartotece w ramach danej spółki – kartoteka jest wspólna dla wszystkich rodzajów współpracy. </w:t>
      </w:r>
      <w:r>
        <w:rPr>
          <w:rStyle w:val="PoledoUzupelnienia"/>
          <w:highlight w:val="yellow"/>
        </w:rPr>
        <w:t xml:space="preserve">[DO UZUPEŁNIENIA: w przypadku konfiguracji wielooddziałowej – zasada zakładania kartotek przy zatrudnieniu tej samej osoby w kilku spółkach]</w:t>
      </w:r>
    </w:p>
    <w:p>
      <w:pPr>
        <w:pStyle w:val="Nagwek2"/>
      </w:pPr>
      <w:r>
        <w:t xml:space="preserve">Kartoteka pracownika – zakładki</w:t>
      </w:r>
    </w:p>
    <w:p>
      <w:pPr>
        <w:pStyle w:val="Normalny"/>
      </w:pPr>
      <w:r>
        <w:t xml:space="preserve">Poniżej przedstawione zostały zakładki kartoteki niezbędne do uzupełnienia przy zatrudnianiu i zakończeniu zatrudnienia pracownika lub współpracownika. W ramach danej zakładki opisano dodatkowe pola, które zostaną przygotowane dedykowanie na etapie wdrożenia.</w:t>
      </w:r>
    </w:p>
    <w:p>
      <w:pPr>
        <w:pStyle w:val="Nagwek3"/>
      </w:pPr>
      <w:r>
        <w:t xml:space="preserve">Kadry/Ogólne</w:t>
      </w:r>
    </w:p>
    <w:p>
      <w:pPr>
        <w:pStyle w:val="Normalny"/>
      </w:pPr>
      <w:r>
        <w:t xml:space="preserve">W zakładce Ogólne uzupełnia się podstawowe dane identyfikacyjne pracownika.</w:t>
      </w:r>
    </w:p>
    <w:p>
      <w:pPr>
        <w:keepNext/>
        <w:jc w:val="center"/>
      </w:pPr>
      <w:r>
        <w:drawing>
          <wp:inline distT="0" distB="0" distL="0" distR="0">
            <wp:extent cx="5732000" cy="3214253"/>
            <wp:docPr id="13" name="Obraz 13" descr="kadry_ogoln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kadry_ogolne.png"/>
                    <pic:cNvPicPr/>
                  </pic:nvPicPr>
                  <pic:blipFill>
                    <a:blip r:embed="rIdObraz103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21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Dane ogólne pracownika</w:t>
      </w:r>
    </w:p>
    <w:p>
      <w:pPr>
        <w:pStyle w:val="Nagwek3"/>
      </w:pPr>
      <w:r>
        <w:t xml:space="preserve">Kadry/Adresy</w:t>
      </w:r>
    </w:p>
    <w:p>
      <w:pPr>
        <w:pStyle w:val="Normalny"/>
      </w:pPr>
      <w:r>
        <w:t xml:space="preserve">Zakładka umożliwia wprowadzenie danych adresowych i kontaktowych pracownika.</w:t>
      </w:r>
    </w:p>
    <w:p>
      <w:pPr>
        <w:keepNext/>
        <w:jc w:val="center"/>
      </w:pPr>
      <w:r>
        <w:drawing>
          <wp:inline distT="0" distB="0" distL="0" distR="0">
            <wp:extent cx="5732000" cy="3658289"/>
            <wp:docPr id="14" name="Obraz 14" descr="kadry_adres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kadry_adresy.png"/>
                    <pic:cNvPicPr/>
                  </pic:nvPicPr>
                  <pic:blipFill>
                    <a:blip r:embed="rIdObraz104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658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Dane adresowe</w:t>
      </w:r>
    </w:p>
    <w:p>
      <w:pPr>
        <w:pStyle w:val="Nagwek3"/>
      </w:pPr>
      <w:r>
        <w:t xml:space="preserve">Kadry/Dane podatkowe</w:t>
      </w:r>
    </w:p>
    <w:p>
      <w:pPr>
        <w:pStyle w:val="Normalny"/>
      </w:pPr>
      <w:r>
        <w:t xml:space="preserve">Zakładka pozwala na uzupełnienie danych dotyczących urzędu skarbowego, identyfikatora podatkowego, kosztów uzyskania przychodu, ulg podatkowych, zwolnień z podatku i progu podatkowego.</w:t>
      </w:r>
    </w:p>
    <w:p>
      <w:pPr>
        <w:keepNext/>
        <w:jc w:val="center"/>
      </w:pPr>
      <w:r>
        <w:drawing>
          <wp:inline distT="0" distB="0" distL="0" distR="0">
            <wp:extent cx="5732000" cy="5286422"/>
            <wp:docPr id="15" name="Obraz 15" descr="kadry_dane_podatkow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kadry_dane_podatkowe.png"/>
                    <pic:cNvPicPr/>
                  </pic:nvPicPr>
                  <pic:blipFill>
                    <a:blip r:embed="rIdObraz105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528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Dane podatkowe</w:t>
      </w:r>
    </w:p>
    <w:p>
      <w:pPr>
        <w:pStyle w:val="Nagwek3"/>
      </w:pPr>
      <w:r>
        <w:t xml:space="preserve">Kadry/Dane ubezpieczeniowe</w:t>
      </w:r>
    </w:p>
    <w:p>
      <w:pPr>
        <w:pStyle w:val="Normalny"/>
      </w:pPr>
      <w:r>
        <w:t xml:space="preserve">Zakładka pozwala na wprowadzenie danych dotyczących prawa pracownika do emerytury lub renty, stopnia niepełnosprawności (wraz z datami orzeczenia), kodu pracy w szczególnych warunkach lub szczególnym charakterze oraz oddziału NFZ.</w:t>
      </w:r>
    </w:p>
    <w:p>
      <w:pPr>
        <w:keepNext/>
        <w:jc w:val="center"/>
      </w:pPr>
      <w:r>
        <w:drawing>
          <wp:inline distT="0" distB="0" distL="0" distR="0">
            <wp:extent cx="5732000" cy="4027891"/>
            <wp:docPr id="16" name="Obraz 16" descr="kadry_dane_ubezpieczeniow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kadry_dane_ubezpieczeniowe.png"/>
                    <pic:cNvPicPr/>
                  </pic:nvPicPr>
                  <pic:blipFill>
                    <a:blip r:embed="rIdObraz106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402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Dane ubezpieczeniowe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dodatkowe pola dotyczące niepełnosprawności, np. data dostarczenia orzeczenia, zgody na pracę w nadgodzinach i w porze nocnej – lub usuń]</w:t>
      </w:r>
    </w:p>
    <w:p>
      <w:pPr>
        <w:pStyle w:val="Nagwek3"/>
      </w:pPr>
      <w:r>
        <w:t xml:space="preserve">Kadry/Historia zatrudnienia</w:t>
      </w:r>
    </w:p>
    <w:p>
      <w:pPr>
        <w:pStyle w:val="Normalny"/>
      </w:pPr>
      <w:r>
        <w:t xml:space="preserve">Zakładka pozwala na uzupełnienie danych pracownika dotyczących jego poprzedniego zatrudnienia oraz oznaczenie okresów wliczanych do stażu pracy.</w:t>
      </w:r>
    </w:p>
    <w:p>
      <w:pPr>
        <w:keepNext/>
        <w:jc w:val="center"/>
      </w:pPr>
      <w:r>
        <w:drawing>
          <wp:inline distT="0" distB="0" distL="0" distR="0">
            <wp:extent cx="5732000" cy="4227093"/>
            <wp:docPr id="17" name="Obraz 17" descr="kadry_historia_zatrudnieni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kadry_historia_zatrudnienia.png"/>
                    <pic:cNvPicPr/>
                  </pic:nvPicPr>
                  <pic:blipFill>
                    <a:blip r:embed="rIdObraz107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422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Historia zatrudnienia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zasady wliczania stażu u poprzedników prawnych lub w innych spółkach grupy – lub usuń]</w:t>
      </w:r>
    </w:p>
    <w:p>
      <w:pPr>
        <w:pStyle w:val="Nagwek3"/>
      </w:pPr>
      <w:r>
        <w:t xml:space="preserve">Kadry/Rachunki bankowe</w:t>
      </w:r>
    </w:p>
    <w:p>
      <w:pPr>
        <w:pStyle w:val="Normalny"/>
      </w:pPr>
      <w:r>
        <w:t xml:space="preserve">Zakładka pozwala na zaewidencjonowanie numeru rachunku bankowego pracownika lub zleceniobiorcy oraz podziału wypłaty na kilka rachunków.</w:t>
      </w:r>
    </w:p>
    <w:p>
      <w:pPr>
        <w:keepNext/>
        <w:jc w:val="center"/>
      </w:pPr>
      <w:r>
        <w:drawing>
          <wp:inline distT="0" distB="0" distL="0" distR="0">
            <wp:extent cx="5732000" cy="2246944"/>
            <wp:docPr id="18" name="Obraz 18" descr="kadry_rachunki_bankow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kadry_rachunki_bankowe.png"/>
                    <pic:cNvPicPr/>
                  </pic:nvPicPr>
                  <pic:blipFill>
                    <a:blip r:embed="rIdObraz108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224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Rachunki bankowe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źródło rachunków (enova365 / integracja) i liczba rachunków na pracownika]</w:t>
      </w:r>
    </w:p>
    <w:p>
      <w:pPr>
        <w:pStyle w:val="Nagwek3"/>
      </w:pPr>
      <w:r>
        <w:t xml:space="preserve">Kadry/Rodzina</w:t>
      </w:r>
    </w:p>
    <w:p>
      <w:pPr>
        <w:pStyle w:val="Normalny"/>
      </w:pPr>
      <w:r>
        <w:t xml:space="preserve">Zakładka pozwala na uzupełnienie danych członków rodziny pracownika wraz ze wskazaniem stopnia pokrewieństwa czy uprawnień do ubezpieczenia zdrowotnego.</w:t>
      </w:r>
    </w:p>
    <w:p>
      <w:pPr>
        <w:keepNext/>
        <w:jc w:val="center"/>
      </w:pPr>
      <w:r>
        <w:drawing>
          <wp:inline distT="0" distB="0" distL="0" distR="0">
            <wp:extent cx="5732000" cy="2902095"/>
            <wp:docPr id="19" name="Obraz 19" descr="kadry_rodzin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kadry_rodzina.png"/>
                    <pic:cNvPicPr/>
                  </pic:nvPicPr>
                  <pic:blipFill>
                    <a:blip r:embed="rIdObraz109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290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8</w:t>
      </w:r>
      <w:r>
        <w:fldChar w:fldCharType="end"/>
      </w:r>
      <w:r>
        <w:t xml:space="preserve"> Członkowie rodziny pracownika</w:t>
      </w:r>
    </w:p>
    <w:p>
      <w:pPr>
        <w:pStyle w:val="Nagwek3"/>
      </w:pPr>
      <w:r>
        <w:t xml:space="preserve">Kadry/Wykształcenie</w:t>
      </w:r>
    </w:p>
    <w:p>
      <w:pPr>
        <w:pStyle w:val="Normalny"/>
      </w:pPr>
      <w:r>
        <w:t xml:space="preserve">Zakładka pozwala na wprowadzenie danych dotyczących wykształcenia pracownika oraz ukończonych szkół wliczanych do stażu.</w:t>
      </w:r>
    </w:p>
    <w:p>
      <w:pPr>
        <w:keepNext/>
        <w:jc w:val="center"/>
      </w:pPr>
      <w:r>
        <w:drawing>
          <wp:inline distT="0" distB="0" distL="0" distR="0">
            <wp:extent cx="5732000" cy="3971189"/>
            <wp:docPr id="20" name="Obraz 20" descr="kadry_wyksztalceni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kadry_wyksztalcenie.png"/>
                    <pic:cNvPicPr/>
                  </pic:nvPicPr>
                  <pic:blipFill>
                    <a:blip r:embed="rIdObraz110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97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9</w:t>
      </w:r>
      <w:r>
        <w:fldChar w:fldCharType="end"/>
      </w:r>
      <w:r>
        <w:t xml:space="preserve"> Wykształcenie pracownika</w:t>
      </w:r>
    </w:p>
    <w:p>
      <w:pPr>
        <w:pStyle w:val="Nagwek3"/>
      </w:pPr>
      <w:r>
        <w:t xml:space="preserve">Kadry – pozostałe/Nagrody i kary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W zakładce możliwe jest uzupełnianie ewidencji kar i nagród pracownika. Lista zaewidencjonowanych nagród i kar wszystkich pracowników dostępna jest w folderze Ewidencje/Nagrody i kary.</w:t>
      </w:r>
    </w:p>
    <w:p>
      <w:pPr>
        <w:pStyle w:val="Normalny"/>
        <w:keepNext/>
        <w:jc w:val="center"/>
      </w:pPr>
      <w:r>
        <w:rPr>
          <w:rStyle w:val="PoledoUzupelnienia"/>
          <w:highlight w:val="yellow"/>
        </w:rPr>
        <w:t xml:space="preserve">[DO UZUPEŁNIENIA: zrzut ekranu – Ewidencja nagród i kar pracownika]</w:t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Ewidencja nagród i kar pracownika</w:t>
      </w:r>
    </w:p>
    <w:p>
      <w:pPr>
        <w:pStyle w:val="Normalny"/>
      </w:pPr>
      <w:r>
        <w:t xml:space="preserve">Na etapie analizy Klient przedstawił listę definicji kar i nagród, które zostaną skonfigurowane w systemie enova365: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definicje kar i nagród]</w:t>
      </w:r>
      <w:r>
        <w:t xml:space="preserve">.</w:t>
      </w:r>
    </w:p>
    <w:p>
      <w:pPr>
        <w:pStyle w:val="Nagwek3"/>
      </w:pPr>
      <w:r>
        <w:t xml:space="preserve">Etat/Ogólne</w:t>
      </w:r>
    </w:p>
    <w:p>
      <w:pPr>
        <w:pStyle w:val="Normalny"/>
      </w:pPr>
      <w:r>
        <w:t xml:space="preserve">W tej zakładce uzupełnia się dane dotyczące zatrudnienia pracownika: okres zatrudnienia, jednostkę organizacyjną, datę zawarcia umowy i rozpoczęcia pracy, rodzaj zatrudnienia, definicję stanowiska, kod wykonywanego zawodu, kalendarz, na podstawie którego rozliczany będzie czas pracy, a także wymiar etatu i stawkę zaszeregowania.</w:t>
      </w:r>
    </w:p>
    <w:p>
      <w:pPr>
        <w:keepNext/>
        <w:jc w:val="center"/>
      </w:pPr>
      <w:r>
        <w:drawing>
          <wp:inline distT="0" distB="0" distL="0" distR="0">
            <wp:extent cx="5732000" cy="3832189"/>
            <wp:docPr id="21" name="Obraz 21" descr="etat_ogoln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etat_ogolne.png"/>
                    <pic:cNvPicPr/>
                  </pic:nvPicPr>
                  <pic:blipFill>
                    <a:blip r:embed="rIdObraz111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83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Dane dotyczące zatrudnienia pracownika</w:t>
      </w:r>
    </w:p>
    <w:p>
      <w:pPr>
        <w:pStyle w:val="Normalny"/>
      </w:pPr>
      <w:r>
        <w:t xml:space="preserve">Zakładka zostanie rozbudowana o dedykowane pola wykorzystywane przez Klienta: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347"/>
        <w:gridCol w:w="1444"/>
        <w:gridCol w:w="2708"/>
        <w:gridCol w:w="2527"/>
      </w:tblGrid>
      <w:tr>
        <w:trPr>
          <w:cantSplit/>
          <w:tblHeader/>
        </w:trPr>
        <w:tc>
          <w:tcPr>
            <w:tcW w:w="2347" w:type="dxa"/>
          </w:tcPr>
          <w:p>
            <w:pPr>
              <w:pStyle w:val="Tekstabeli"/>
            </w:pPr>
            <w:r>
              <w:t xml:space="preserve">Pole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Typ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Wartości lub źródło</w:t>
            </w:r>
          </w:p>
        </w:tc>
        <w:tc>
          <w:tcPr>
            <w:tcW w:w="2527" w:type="dxa"/>
          </w:tcPr>
          <w:p>
            <w:pPr>
              <w:pStyle w:val="Tekstabeli"/>
            </w:pPr>
            <w:r>
              <w:t xml:space="preserve">Uwagi (edycja, historyczność)</w:t>
            </w:r>
          </w:p>
        </w:tc>
      </w:tr>
      <w:tr>
        <w:trPr>
          <w:cantSplit/>
        </w:trPr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pola]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słownik / tekst / data / liczba / referencja do listy pracowników]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wartości słownika lub sposób wyliczenia]</w:t>
            </w:r>
          </w:p>
        </w:tc>
        <w:tc>
          <w:tcPr>
            <w:tcW w:w="252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kto edytuje, czy pole historyczne]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Dodatkowe pola na zakładce Etat/Ogólne</w:t>
      </w:r>
    </w:p>
    <w:p>
      <w:pPr>
        <w:pStyle w:val="Normalny"/>
      </w:pPr>
      <w:r>
        <w:t xml:space="preserve">Klient na etapie wdrożenia przedstawi listę wartości słowników dla powyższych pól.</w:t>
      </w:r>
    </w:p>
    <w:p>
      <w:pPr>
        <w:pStyle w:val="Nagwek3"/>
      </w:pPr>
      <w:r>
        <w:t xml:space="preserve">Etat/Rozwiązanie umowy</w:t>
      </w:r>
    </w:p>
    <w:p>
      <w:pPr>
        <w:pStyle w:val="Normalny"/>
      </w:pPr>
      <w:r>
        <w:t xml:space="preserve">Zakładka pozwala na wprowadzenie danych dotyczących rozwiązania umowy o pracę.</w:t>
      </w:r>
    </w:p>
    <w:p>
      <w:pPr>
        <w:keepNext/>
        <w:jc w:val="center"/>
      </w:pPr>
      <w:r>
        <w:drawing>
          <wp:inline distT="0" distB="0" distL="0" distR="0">
            <wp:extent cx="5732000" cy="4623733"/>
            <wp:docPr id="22" name="Obraz 22" descr="etat_rozwiazanie_umow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etat_rozwiazanie_umowy.png"/>
                    <pic:cNvPicPr/>
                  </pic:nvPicPr>
                  <pic:blipFill>
                    <a:blip r:embed="rIdObraz112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4623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Rozwiązanie umowy</w:t>
      </w:r>
    </w:p>
    <w:p>
      <w:pPr>
        <w:pStyle w:val="Normalny"/>
      </w:pPr>
      <w:r>
        <w:t xml:space="preserve">System enova365 umożliwia wygenerowanie świadectwa pracy zgodnie z obowiązującymi przepisami, automatycznie uzupełnia dane niezbędne do jego prawidłowego wystawienia i generuje informację dotyczącą okresu przechowywania akt osobowych. Możliwe jest również wygenerowanie świadectwa pracy w szczególnych warunkach lub w szczególnym charakterze, jeśli takie okresy zostały zaewidencjonowane.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dedykowane pola dotyczące rozwiązania umowy, np. rodzaj i przyczyna odejścia (słownik), strona inicjująca, data wręczenia wypowiedzenia – lub usuń]</w:t>
      </w:r>
    </w:p>
    <w:p>
      <w:pPr>
        <w:pStyle w:val="Nagwek3"/>
      </w:pPr>
      <w:r>
        <w:t xml:space="preserve">Etat/Umowa o pracę</w:t>
      </w:r>
    </w:p>
    <w:p>
      <w:pPr>
        <w:pStyle w:val="Normalny"/>
      </w:pPr>
      <w:r>
        <w:t xml:space="preserve">Zakładka pozwala na uzupełnienie dodatkowych informacji, w tym miejsca wykonywania pracy czy pełnej nazwy stanowiska. W zakładce przechowywane są również informacje o historii umów o pracę zawieranych z pracownikiem.</w:t>
      </w:r>
    </w:p>
    <w:p>
      <w:pPr>
        <w:keepNext/>
        <w:jc w:val="center"/>
      </w:pPr>
      <w:r>
        <w:drawing>
          <wp:inline distT="0" distB="0" distL="0" distR="0">
            <wp:extent cx="5732000" cy="4647269"/>
            <wp:docPr id="23" name="Obraz 23" descr="etat_umowa_o_prac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etat_umowa_o_prace.png"/>
                    <pic:cNvPicPr/>
                  </pic:nvPicPr>
                  <pic:blipFill>
                    <a:blip r:embed="rIdObraz113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464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Dodatkowe informacje dotyczące umowy o pracę</w:t>
      </w:r>
    </w:p>
    <w:p>
      <w:pPr>
        <w:pStyle w:val="Nagwek3"/>
      </w:pPr>
      <w:r>
        <w:t xml:space="preserve">PPK/Ogólne</w:t>
      </w:r>
    </w:p>
    <w:p>
      <w:pPr>
        <w:pStyle w:val="Normalny"/>
      </w:pPr>
      <w:r>
        <w:t xml:space="preserve">Zakładka pozwala na zaewidencjonowanie informacji o zgłoszeniu pracownika do PPK, rezygnacji z wpłat i ich wznowieniu oraz o wysokości składek.</w:t>
      </w:r>
    </w:p>
    <w:p>
      <w:pPr>
        <w:keepNext/>
        <w:jc w:val="center"/>
      </w:pPr>
      <w:r>
        <w:drawing>
          <wp:inline distT="0" distB="0" distL="0" distR="0">
            <wp:extent cx="5732000" cy="4208603"/>
            <wp:docPr id="24" name="Obraz 24" descr="ppk_ogoln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ppk_ogolne.png"/>
                    <pic:cNvPicPr/>
                  </pic:nvPicPr>
                  <pic:blipFill>
                    <a:blip r:embed="rIdObraz114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420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PPK</w:t>
      </w:r>
    </w:p>
    <w:p>
      <w:pPr>
        <w:pStyle w:val="Nagwek3"/>
      </w:pPr>
      <w:r>
        <w:t xml:space="preserve">Deklaracje/Zgłoszeniowe ZUS</w:t>
      </w:r>
    </w:p>
    <w:p>
      <w:pPr>
        <w:pStyle w:val="Normalny"/>
      </w:pPr>
      <w:r>
        <w:t xml:space="preserve">Zakładka pozwala na przygotowanie deklaracji pracownika oraz osoby zatrudnionej na umowę cywilnoprawną w zakresie zgłoszenia, wyrejestrowania i zmiany danych w ZUS, a także zgłoszenia i wyrejestrowania członka rodziny do ubezpieczenia zdrowotnego oraz zgłoszenia umowy o dzieło. Zakładka umożliwia eksport pliku w odpowiednim formacie do programu Płatnik.</w:t>
      </w:r>
    </w:p>
    <w:p>
      <w:pPr>
        <w:keepNext/>
        <w:jc w:val="center"/>
      </w:pPr>
      <w:r>
        <w:drawing>
          <wp:inline distT="0" distB="0" distL="0" distR="0">
            <wp:extent cx="5124450" cy="3533775"/>
            <wp:docPr id="25" name="Obraz 25" descr="deklaracje_zgloszeniowe_zu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deklaracje_zgloszeniowe_zus.png"/>
                    <pic:cNvPicPr/>
                  </pic:nvPicPr>
                  <pic:blipFill>
                    <a:blip r:embed="rIdObraz11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Deklaracje zgłoszeniowe ZUS</w:t>
      </w:r>
    </w:p>
    <w:p>
      <w:pPr>
        <w:pStyle w:val="Nagwek2"/>
      </w:pPr>
      <w:r>
        <w:t xml:space="preserve">Pola dodatkowe (cechy)</w:t>
      </w:r>
    </w:p>
    <w:p>
      <w:pPr>
        <w:pStyle w:val="Normalny"/>
      </w:pPr>
      <w:r>
        <w:t xml:space="preserve">Poniżej zestawienie dodatkowych pól (cech), które zostaną założone w systemie enova365 według stanu na dzień przygotowania dokumentu. Dodatkowe pola mogą zostać wyciągnięte jako kolumny na widokach list i wykorzystane w raportach.</w:t>
      </w:r>
    </w:p>
    <w:tbl>
      <w:tblPr>
        <w:tblStyle w:val="ProposalTable"/>
        <w:tblW w:w="9023" w:type="dxa"/>
        <w:tblLayout w:type="fixed"/>
        <w:tblLook w:val="0420" w:firstRow="1" w:lastRow="0" w:firstColumn="0" w:lastColumn="0" w:noHBand="1" w:noVBand="1"/>
      </w:tblPr>
      <w:tblGrid>
        <w:gridCol w:w="1444"/>
        <w:gridCol w:w="1985"/>
        <w:gridCol w:w="1263"/>
        <w:gridCol w:w="1985"/>
        <w:gridCol w:w="1083"/>
        <w:gridCol w:w="1263"/>
      </w:tblGrid>
      <w:tr>
        <w:trPr>
          <w:cantSplit/>
          <w:tblHeader/>
        </w:trPr>
        <w:tc>
          <w:tcPr>
            <w:tcW w:w="1444" w:type="dxa"/>
          </w:tcPr>
          <w:p>
            <w:pPr>
              <w:pStyle w:val="Tekstabeli"/>
            </w:pPr>
            <w:r>
              <w:t xml:space="preserve">Obiekt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Nazwa pola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Typ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t xml:space="preserve">Wartości lub sposób wyliczenia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Historyczne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Mechanizm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pracownik / etat / umowa / lista płac / badanie]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typ]</w:t>
            </w:r>
          </w:p>
        </w:tc>
        <w:tc>
          <w:tcPr>
            <w:tcW w:w="198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opis]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nr mechanizmu lub „–”]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Pola dodatkowe (cechy)</w:t>
      </w:r>
    </w:p>
    <w:p>
      <w:pPr>
        <w:pStyle w:val="Nagwek2"/>
      </w:pPr>
      <w:r>
        <w:t xml:space="preserve">Dane przekazywane z systemów zewnętrznych</w:t>
      </w:r>
    </w:p>
    <w:p>
      <w:pPr>
        <w:pStyle w:val="Sekcjaopcjonalna"/>
      </w:pPr>
      <w:r>
        <w:t xml:space="preserve">[SEKCJA OPCJONALNA – usuń, jeśli nie dotyczy]</w:t>
      </w:r>
      <w:r>
        <w:t xml:space="preserve"> Dotyczy wdrożeń z integracją kadrową (system wiodący inny niż enova365).</w:t>
      </w:r>
    </w:p>
    <w:p>
      <w:pPr>
        <w:pStyle w:val="Normalny"/>
      </w:pPr>
      <w:r>
        <w:t xml:space="preserve">W trakcie analizy ustalono, że część danych kadrowych będzie wprowadzana w systemie </w:t>
      </w:r>
      <w:r>
        <w:rPr>
          <w:rStyle w:val="PoledoUzupelnienia"/>
          <w:highlight w:val="yellow"/>
        </w:rPr>
        <w:t xml:space="preserve">[DO UZUPEŁNIENIA: nazwa systemu wiodącego]</w:t>
      </w:r>
      <w:r>
        <w:t xml:space="preserve"> i przesyłana do systemu enova365 poprzez mechanizm integracji (mechanizm </w:t>
      </w:r>
      <w:r>
        <w:rPr>
          <w:rStyle w:val="PoledoUzupelnienia"/>
          <w:highlight w:val="yellow"/>
        </w:rPr>
        <w:t xml:space="preserve">[DO UZUPEŁNIENIA: nr]</w:t>
      </w:r>
      <w:r>
        <w:t xml:space="preserve">). Dane przekazywane integracją będą nieedytowalne dla operatorów programu, z wyjątkiem </w:t>
      </w:r>
      <w:r>
        <w:rPr>
          <w:rStyle w:val="PoledoUzupelnienia"/>
          <w:highlight w:val="yellow"/>
        </w:rPr>
        <w:t xml:space="preserve">[DO UZUPEŁNIENIA: rola z uprawnieniem do edycji danych integrowanych]</w:t>
      </w:r>
      <w:r>
        <w:t xml:space="preserve">.</w:t>
      </w:r>
    </w:p>
    <w:p>
      <w:pPr>
        <w:pStyle w:val="Normalny"/>
      </w:pPr>
      <w:r>
        <w:t xml:space="preserve">Zakres danych przekazywanych integracją: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lista danych, np. dane osobowe, adresy, rachunek bankowy, umowy i aneksy, jednostka organizacyjna, rozwiązanie umowy]</w:t>
      </w:r>
      <w:r>
        <w:t xml:space="preserve">.</w:t>
      </w:r>
    </w:p>
    <w:p>
      <w:pPr>
        <w:pStyle w:val="Nagwek2"/>
      </w:pPr>
      <w:r>
        <w:t xml:space="preserve">Wieloetatowość i zapis zmian danych</w:t>
      </w:r>
    </w:p>
    <w:p>
      <w:pPr>
        <w:pStyle w:val="Normalny"/>
      </w:pPr>
      <w:r>
        <w:t xml:space="preserve">Na etapie wdrożenia </w:t>
      </w:r>
      <w:r>
        <w:rPr>
          <w:rStyle w:val="PoledoUzupelnienia"/>
          <w:highlight w:val="yellow"/>
        </w:rPr>
        <w:t xml:space="preserve">[DO UZUPEŁNIENIA: zostanie / nie zostanie]</w:t>
      </w:r>
      <w:r>
        <w:t xml:space="preserve"> uruchomiona obsługa wieloetatowości, umożliwiająca zatrudnienie pracownika w tej samej firmie na więcej niż jednym etacie. Rozwiązanie pozwala powiązać kartoteki danego pracownika i tworzyć wspólną deklarację PIT czy ZUS.</w:t>
      </w:r>
    </w:p>
    <w:p>
      <w:pPr>
        <w:pStyle w:val="Normalny"/>
      </w:pPr>
      <w:r>
        <w:t xml:space="preserve">Na etapie wdrożenia uruchomiona zostanie funkcjonalność rozszerzonego zapisu zmian danych w systemie. Odnotowywane będą informacje o logowaniu do systemu i realizowanych zmianach danych ze wskazaniem operatora dokonującego zmiany, daty i godziny zmiany oraz zakresu zmodyfikowanych danych.</w:t>
      </w:r>
    </w:p>
    <w:p>
      <w:pPr>
        <w:pStyle w:val="Nagwek2"/>
      </w:pPr>
      <w:r>
        <w:t xml:space="preserve">Numeracja pracowników w enova365</w:t>
      </w:r>
    </w:p>
    <w:p>
      <w:pPr>
        <w:pStyle w:val="Normalny"/>
      </w:pPr>
      <w:r>
        <w:t xml:space="preserve">System enova365 daje możliwość przechowywania wielu przebiegów zatrudnienia pracownika w jednej kartotece w ramach danej spółki. Oznacza to, że ten sam pracownik pracujący na umowie o pracę w różnych przedziałach czasu oraz posiadający dodatkowo umowy cywilnoprawne może mieć jeden numer w systemie. Kod pracownika musi być wartością unikalną.</w:t>
      </w:r>
    </w:p>
    <w:p>
      <w:pPr>
        <w:pStyle w:val="Normalny"/>
      </w:pPr>
      <w:r>
        <w:t xml:space="preserve">W bazie Klienta przewidziany jest następujący format kodu pracownika: </w:t>
      </w:r>
      <w:r>
        <w:rPr>
          <w:rStyle w:val="PoledoUzupelnienia"/>
          <w:highlight w:val="yellow"/>
        </w:rPr>
        <w:t xml:space="preserve">[DO UZUPEŁNIENIA: format kodu, np. 0000 – kolejny wolny numer, prefiks spółki]</w:t>
      </w:r>
      <w:r>
        <w:t xml:space="preserve">.</w:t>
      </w:r>
    </w:p>
    <w:p>
      <w:pPr>
        <w:pStyle w:val="Normalny"/>
      </w:pPr>
      <w:r>
        <w:t xml:space="preserve">Kody kartotek migrowanych z dotychczasowego systemu </w:t>
      </w:r>
      <w:r>
        <w:rPr>
          <w:rStyle w:val="PoledoUzupelnienia"/>
          <w:highlight w:val="yellow"/>
        </w:rPr>
        <w:t xml:space="preserve">[DO UZUPEŁNIENIA: zostaną zachowane / zostaną przenumerowane]</w:t>
      </w:r>
      <w:r>
        <w:t xml:space="preserve">. Nowe kody będą nadawane </w:t>
      </w:r>
      <w:r>
        <w:rPr>
          <w:rStyle w:val="PoledoUzupelnienia"/>
          <w:highlight w:val="yellow"/>
        </w:rPr>
        <w:t xml:space="preserve">[DO UZUPEŁNIENIA: automatycznie jako pierwszy wolny numer / ręcznie przez operatora / przez integrację]</w:t>
      </w:r>
      <w:r>
        <w:t xml:space="preserve">.</w:t>
      </w:r>
    </w:p>
    <w:p>
      <w:pPr>
        <w:pStyle w:val="Nagwek2"/>
      </w:pPr>
      <w:r>
        <w:t xml:space="preserve">Szkolenia BHP</w:t>
      </w:r>
    </w:p>
    <w:p>
      <w:pPr>
        <w:pStyle w:val="Normalny"/>
      </w:pPr>
      <w:r>
        <w:t xml:space="preserve">Przed przystąpieniem do migracji danych dotyczących szkoleń BHP zostaną skonfigurowane odpowiednie definicje szkoleń. Na etapie analizy Klient przedstawił listę szkoleń BHP z okresem ich ważności: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513"/>
        <w:gridCol w:w="2256"/>
        <w:gridCol w:w="2256"/>
      </w:tblGrid>
      <w:tr>
        <w:trPr>
          <w:cantSplit/>
          <w:tblHeader/>
        </w:trPr>
        <w:tc>
          <w:tcPr>
            <w:tcW w:w="4513" w:type="dxa"/>
          </w:tcPr>
          <w:p>
            <w:pPr>
              <w:pStyle w:val="Tekstabeli"/>
            </w:pPr>
            <w:r>
              <w:t xml:space="preserve">Definicja szkolenia BHP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Ważność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Uwagi</w:t>
            </w:r>
          </w:p>
        </w:tc>
      </w:tr>
      <w:tr>
        <w:trPr>
          <w:cantSplit/>
        </w:trPr>
        <w:tc>
          <w:tcPr>
            <w:tcW w:w="451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szkolenie wstępne, okresowe, stanowiskowe, pierwsza pomoc]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 ważności]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grupa pracowników]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Definicje szkoleń BHP</w:t>
      </w:r>
    </w:p>
    <w:p>
      <w:pPr>
        <w:pStyle w:val="Normalny"/>
      </w:pPr>
      <w:r>
        <w:t xml:space="preserve">Do szkolenia BHP możliwe jest podpięcie załącznika (skanu zaświadczenia) poprzez standardową funkcjonalność programu enova365. W ramach wdrożenia </w:t>
      </w:r>
      <w:r>
        <w:rPr>
          <w:rStyle w:val="PoledoUzupelnienia"/>
          <w:highlight w:val="yellow"/>
        </w:rPr>
        <w:t xml:space="preserve">[DO UZUPEŁNIENIA: zostaną / nie zostaną]</w:t>
      </w:r>
      <w:r>
        <w:t xml:space="preserve"> przygotowane dodatkowe pola wskazujące nazwę definicji ostatniego szkolenia BHP i termin jego ważności, które będzie można wyciągnąć jako kolumny w widoku listy pracowników.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kto ewidencjonuje szkolenia BHP i czy dane historyczne będą migrowane]</w:t>
      </w:r>
    </w:p>
    <w:p>
      <w:pPr>
        <w:pStyle w:val="Nagwek2"/>
      </w:pPr>
      <w:r>
        <w:t xml:space="preserve">Badania lekarskie</w:t>
      </w:r>
    </w:p>
    <w:p>
      <w:pPr>
        <w:pStyle w:val="Normalny"/>
      </w:pPr>
      <w:r>
        <w:t xml:space="preserve">Przed przystąpieniem do migracji danych dotyczących badań lekarskich zostaną skonfigurowane odpowiednie definicje badań: </w:t>
      </w:r>
      <w:r>
        <w:rPr>
          <w:rStyle w:val="PoledoUzupelnienia"/>
          <w:highlight w:val="yellow"/>
        </w:rPr>
        <w:t xml:space="preserve">[DO UZUPEŁNIENIA: np. wstępne, okresowe, kontrolne, psychologiczne – z terminami ważności]</w:t>
      </w:r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732000" cy="3856072"/>
            <wp:docPr id="26" name="Obraz 26" descr="badanie_lekarski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badanie_lekarskie.png"/>
                    <pic:cNvPicPr/>
                  </pic:nvPicPr>
                  <pic:blipFill>
                    <a:blip r:embed="rIdObraz116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85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Formatka badania lekarskiego</w:t>
      </w:r>
    </w:p>
    <w:p>
      <w:pPr>
        <w:pStyle w:val="Normalny"/>
      </w:pPr>
      <w:r>
        <w:t xml:space="preserve">Do badania lekarskiego możliwe jest podpięcie załącznika poprzez standardową funkcjonalność programu enova365. Dane dotyczące wprowadzonych badań dostępne są z poziomu widoku Ewidencje/Badania lekarskie. System umożliwia również wygenerowanie skierowania na badania lekarskie oraz raportu o kończących się badaniach lekarskich.</w:t>
      </w:r>
    </w:p>
    <w:p>
      <w:pPr>
        <w:pStyle w:val="Normalny"/>
      </w:pPr>
      <w:r>
        <w:t xml:space="preserve">Do definicji badań lekarskich zostaną przygotowane dodatkowe pola umożliwiające zaznaczenie czynników zagrożenia występujących u danego pracownika: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czynniki zagrożenia, np. praca przy monitorze, praca na wysokości, kierowanie pojazdem – lub usuń]</w:t>
      </w:r>
      <w:r>
        <w:t xml:space="preserve">.</w:t>
      </w:r>
    </w:p>
    <w:p>
      <w:pPr>
        <w:pStyle w:val="Normalny"/>
      </w:pPr>
      <w:r>
        <w:t xml:space="preserve">W ramach wdrożenia </w:t>
      </w:r>
      <w:r>
        <w:rPr>
          <w:rStyle w:val="PoledoUzupelnienia"/>
          <w:highlight w:val="yellow"/>
        </w:rPr>
        <w:t xml:space="preserve">[DO UZUPEŁNIENIA: zostaną / nie zostaną]</w:t>
      </w:r>
      <w:r>
        <w:t xml:space="preserve"> przygotowane dodatkowe pola wskazujące nazwę definicji ostatniego badania lekarskiego i termin jego ważności dla danego pracownika.</w:t>
      </w:r>
    </w:p>
    <w:p>
      <w:pPr>
        <w:pStyle w:val="Nagwek2"/>
      </w:pPr>
      <w:r>
        <w:t xml:space="preserve">Uprawnienia zawodowe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Na etapie spotkań analitycznych ustalono, że w systemie enova365 będą ewidencjonowane uprawnienia zawodowe pracowników z określeniem rodzaju uprawnienia i terminu ważności. Typy uprawnień zostaną zaewidencjonowane jako kategorie uprawnień, a rodzaje uprawnień przypisane do danego typu – jako definicje. Do uprawnienia możliwe będzie podpięcie skanu dokumentu.</w:t>
      </w:r>
    </w:p>
    <w:p>
      <w:pPr>
        <w:pStyle w:val="Normalny"/>
      </w:pPr>
      <w:r>
        <w:t xml:space="preserve">Lista kategorii i definicji uprawnień znajduje się w pliku „</w:t>
      </w:r>
      <w:r>
        <w:rPr>
          <w:rStyle w:val="PoledoUzupelnienia"/>
          <w:highlight w:val="yellow"/>
        </w:rPr>
        <w:t xml:space="preserve">[DO UZUPEŁNIENIA: nazwa pliku z uprawnieniami]</w:t>
      </w:r>
      <w:r>
        <w:t xml:space="preserve">.xlsx” załączonym do dokumentu analizy. Dane będzie można wyraportować i zapisać w pliku Excel.</w:t>
      </w:r>
    </w:p>
    <w:p>
      <w:pPr>
        <w:pStyle w:val="Nagwek2"/>
      </w:pPr>
      <w:r>
        <w:t xml:space="preserve">Powiadomienia</w:t>
      </w:r>
    </w:p>
    <w:p>
      <w:pPr>
        <w:pStyle w:val="Normalny"/>
      </w:pPr>
      <w:r>
        <w:t xml:space="preserve">Program enova365 umożliwia skonfigurowanie powiadomień (okno przypominacza), które pojawiają się przed datą upływu ważności zgodnie z określonymi terminami. Powiadomienie wyświetla się operatorom, dla których aktywowano funkcję powiadomień, po każdorazowym uruchomieniu programu aż do odrzucenia przypomnienia lub zarejestrowania przedłużenia.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3069"/>
        <w:gridCol w:w="2166"/>
        <w:gridCol w:w="1805"/>
        <w:gridCol w:w="1444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Definicja powiadomienia</w:t>
            </w:r>
          </w:p>
        </w:tc>
        <w:tc>
          <w:tcPr>
            <w:tcW w:w="2166" w:type="dxa"/>
          </w:tcPr>
          <w:p>
            <w:pPr>
              <w:pStyle w:val="Tekstabeli"/>
            </w:pPr>
            <w:r>
              <w:t xml:space="preserve">Termin powiadomienia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Odbiorcy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Uruchomić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Termin wykonania badania lekarskiego</w:t>
            </w:r>
          </w:p>
        </w:tc>
        <w:tc>
          <w:tcPr>
            <w:tcW w:w="216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30 dni przed]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operatorzy]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Przypomnienie o końcu umowy o pracę</w:t>
            </w:r>
          </w:p>
        </w:tc>
        <w:tc>
          <w:tcPr>
            <w:tcW w:w="216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odbiorcy]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Termin szkolenia BHP</w:t>
            </w:r>
          </w:p>
        </w:tc>
        <w:tc>
          <w:tcPr>
            <w:tcW w:w="216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odbiorcy]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Termin ważności uprawnienia</w:t>
            </w:r>
          </w:p>
        </w:tc>
        <w:tc>
          <w:tcPr>
            <w:tcW w:w="216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odbiorcy]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Powiadomienie o autozapisie do PPK</w:t>
            </w:r>
          </w:p>
        </w:tc>
        <w:tc>
          <w:tcPr>
            <w:tcW w:w="216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odbiorcy]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6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Skierowanie na badania kontrolne (zwolnienie lekarskie powyżej 30 dni)</w:t>
            </w:r>
          </w:p>
        </w:tc>
        <w:tc>
          <w:tcPr>
            <w:tcW w:w="2166" w:type="dxa"/>
          </w:tcPr>
          <w:p>
            <w:pPr>
              <w:pStyle w:val="Tekstabeli"/>
            </w:pPr>
            <w:r>
              <w:t xml:space="preserve">5 dni przed końcem nieobecności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odbiorcy]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Lista powiadomień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powiadomienia mailowe do pracowników i przełożonych – treść, terminy, odbiorcy (mechanizm N) – lub usuń]</w:t>
      </w:r>
    </w:p>
    <w:p>
      <w:pPr>
        <w:pStyle w:val="Nagwek2"/>
      </w:pPr>
      <w:r>
        <w:t xml:space="preserve">Definicje stanowisk</w:t>
      </w:r>
    </w:p>
    <w:p>
      <w:pPr>
        <w:pStyle w:val="Normalny"/>
      </w:pPr>
      <w:r>
        <w:t xml:space="preserve">Definicje stanowisk są funkcjonalnością porządkującą słownik stanowisk. Dzięki temu rozwiązaniu można przypisać wiele danych do konkretnego stanowiska, co umożliwia automatyzację uzupełniania danych pracownika przy wyborze w kartotece tylko jednego pola z definicją stanowiska.</w:t>
      </w:r>
    </w:p>
    <w:p>
      <w:pPr>
        <w:keepNext/>
        <w:jc w:val="center"/>
      </w:pPr>
      <w:r>
        <w:drawing>
          <wp:inline distT="0" distB="0" distL="0" distR="0">
            <wp:extent cx="5732000" cy="3837293"/>
            <wp:docPr id="27" name="Obraz 27" descr="definicja_stanowiska_ogoln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definicja_stanowiska_ogolne.png"/>
                    <pic:cNvPicPr/>
                  </pic:nvPicPr>
                  <pic:blipFill>
                    <a:blip r:embed="rIdObraz117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83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Definicja stanowiska – dane ogólne</w:t>
      </w:r>
    </w:p>
    <w:p>
      <w:pPr>
        <w:keepNext/>
        <w:jc w:val="center"/>
      </w:pPr>
      <w:r>
        <w:drawing>
          <wp:inline distT="0" distB="0" distL="0" distR="0">
            <wp:extent cx="5732000" cy="3033046"/>
            <wp:docPr id="28" name="Obraz 28" descr="definicja_stanowiska_dodatkow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definicja_stanowiska_dodatkowe.png"/>
                    <pic:cNvPicPr/>
                  </pic:nvPicPr>
                  <pic:blipFill>
                    <a:blip r:embed="rIdObraz118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03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Definicja stanowiska – dane dodatkowe</w:t>
      </w:r>
    </w:p>
    <w:p>
      <w:pPr>
        <w:pStyle w:val="Normalny"/>
      </w:pPr>
      <w:r>
        <w:t xml:space="preserve">Na etapie wdrożenia Klient prześle aktualny wykaz definicji stanowisk wraz z przypisanymi do nich kodami zawodów. Lista kodów zawodów według klasyfikacji GUS zostanie zaimportowana do systemu mechanizmem udostępnionym przez producenta programu.</w:t>
      </w:r>
    </w:p>
    <w:p>
      <w:pPr>
        <w:pStyle w:val="Normalny"/>
      </w:pPr>
      <w:r>
        <w:t xml:space="preserve">Do definicji stanowisk </w:t>
      </w:r>
      <w:r>
        <w:rPr>
          <w:rStyle w:val="PoledoUzupelnienia"/>
          <w:highlight w:val="yellow"/>
        </w:rPr>
        <w:t xml:space="preserve">[DO UZUPEŁNIENIA: zostaną / nie zostaną]</w:t>
      </w:r>
      <w:r>
        <w:t xml:space="preserve"> przypisane grupy zaszeregowania oraz kalendarze (system czasu pracy i okres rozliczeniowy).</w:t>
      </w:r>
    </w:p>
    <w:p>
      <w:pPr>
        <w:pStyle w:val="Normalny"/>
      </w:pPr>
      <w:r>
        <w:t xml:space="preserve">Na etapie analizy ustalono, że do definicji stanowisk zostaną przygotowane dodatkowe pola: </w:t>
      </w:r>
      <w:r>
        <w:rPr>
          <w:rStyle w:val="PoledoUzupelnienia"/>
          <w:highlight w:val="yellow"/>
        </w:rPr>
        <w:t xml:space="preserve">[DO UZUPEŁNIENIA: lista pól, np. nazwa w języku angielskim, rodzaj pracownika, poziom struktury – lub „nie dotyczy”]</w:t>
      </w:r>
      <w:r>
        <w:t xml:space="preserve">.</w:t>
      </w:r>
    </w:p>
    <w:p>
      <w:pPr>
        <w:pStyle w:val="Nagwek2"/>
      </w:pPr>
      <w:r>
        <w:t xml:space="preserve">Umowy cywilnoprawne</w:t>
      </w:r>
    </w:p>
    <w:p>
      <w:pPr>
        <w:pStyle w:val="Normalny"/>
      </w:pPr>
      <w:r>
        <w:t xml:space="preserve">Na etapie analizy ustalono, że Klient stosuje standardowe typy umów cywilnoprawnych dostępne w programie enova365: </w:t>
      </w:r>
      <w:r>
        <w:rPr>
          <w:rStyle w:val="PoledoUzupelnienia"/>
          <w:highlight w:val="yellow"/>
        </w:rPr>
        <w:t xml:space="preserve">[DO UZUPEŁNIENIA: np. umowa zlecenia, umowa zlecenia z własnym pracownikiem, umowa o dzieło, kontrakt menedżerski, umowa o praktyki absolwenckie]</w:t>
      </w:r>
      <w:r>
        <w:t xml:space="preserve">.</w:t>
      </w:r>
    </w:p>
    <w:p>
      <w:pPr>
        <w:pStyle w:val="Normalny"/>
      </w:pPr>
      <w:r>
        <w:t xml:space="preserve">W programie enova365 umowy te można rozliczać jako umowy jednorazowe (kwota do wypłaty) lub umowy o charakterze długookresowym (stawka za okres oraz stawka za godzinę). Kartoteka pracownika zawsze będzie jedna, jeżeli będzie to osoba zatrudniona na umowę o pracę i równocześnie współpracująca na podstawie umowy cywilnoprawnej. Na każdym etapie pracy systemu istnieje możliwość skonfigurowania dodatkowych definicji umów bądź zablokowania już nieużywanych.</w:t>
      </w:r>
    </w:p>
    <w:p>
      <w:pPr>
        <w:pStyle w:val="Normalny"/>
        <w:keepNext/>
        <w:jc w:val="center"/>
      </w:pPr>
      <w:r>
        <w:rPr>
          <w:rStyle w:val="PoledoUzupelnienia"/>
          <w:highlight w:val="yellow"/>
        </w:rPr>
        <w:t xml:space="preserve">[DO UZUPEŁNIENIA: zrzut ekranu – Formularz umowy cywilnoprawnej]</w:t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Formularz umowy cywilnoprawnej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dodatkowe pola na formularzu umowy, dedykowane wydruki umów i rachunków, dane przekazywane integracją – lub usuń]</w:t>
      </w:r>
    </w:p>
    <w:p>
      <w:pPr>
        <w:pStyle w:val="Nagwek2"/>
      </w:pPr>
      <w:r>
        <w:t xml:space="preserve">Ewidencja współpracowników B2B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Na etapie analizy ustalono, że Klient </w:t>
      </w:r>
      <w:r>
        <w:rPr>
          <w:rStyle w:val="PoledoUzupelnienia"/>
          <w:highlight w:val="yellow"/>
        </w:rPr>
        <w:t xml:space="preserve">[DO UZUPEŁNIENIA: będzie / nie będzie]</w:t>
      </w:r>
      <w:r>
        <w:t xml:space="preserve"> ewidencjonował w systemie enova365 osoby współpracujące na podstawie umów B2B. Ewidencja zostanie wprowadzona w oparciu o standardowe rozwiązanie modułu enova365 „Obsługa B2B i APT” – bez rozliczania wynagrodzenia z kontraktów B2B.</w:t>
      </w:r>
    </w:p>
    <w:p>
      <w:pPr>
        <w:pStyle w:val="Normalny"/>
      </w:pPr>
      <w:r>
        <w:t xml:space="preserve">Zakres ewidencjonowanych danych:</w:t>
      </w:r>
    </w:p>
    <w:p>
      <w:pPr>
        <w:pStyle w:val="Listapunktowana"/>
      </w:pPr>
      <w:r>
        <w:t xml:space="preserve">dane osoby: kod w bazie enova365, nazwisko, imię, spółka lub jednostka organizacyjna, </w:t>
      </w:r>
      <w:r>
        <w:rPr>
          <w:rStyle w:val="PoledoUzupelnienia"/>
          <w:highlight w:val="yellow"/>
        </w:rPr>
        <w:t xml:space="preserve">[DO UZUPEŁNIENIA: inne dane]</w:t>
      </w:r>
      <w:r>
        <w:t xml:space="preserve">;</w:t>
      </w:r>
    </w:p>
    <w:p>
      <w:pPr>
        <w:pStyle w:val="Listapunktowana"/>
      </w:pPr>
      <w:r>
        <w:t xml:space="preserve">dane umowy B2B: okres od–do, spółka lub jednostka organizacyjna, stawka, </w:t>
      </w:r>
      <w:r>
        <w:rPr>
          <w:rStyle w:val="PoledoUzupelnienia"/>
          <w:highlight w:val="yellow"/>
        </w:rPr>
        <w:t xml:space="preserve">[DO UZUPEŁNIENIA: MPK lub projekt]</w:t>
      </w:r>
      <w:r>
        <w:t xml:space="preserve">, uwagi do umowy.</w:t>
      </w:r>
    </w:p>
    <w:p>
      <w:pPr>
        <w:pStyle w:val="Normalny"/>
      </w:pPr>
      <w:r>
        <w:t xml:space="preserve">Do jednej osoby możliwe jest ewidencjonowanie wielu umów B2B. Dane zostaną zaimportowane w oparciu o formatki migracyjne przygotowane przez Alt One. </w:t>
      </w:r>
      <w:r>
        <w:rPr>
          <w:rStyle w:val="PoledoUzupelnienia"/>
          <w:highlight w:val="yellow"/>
        </w:rPr>
        <w:t xml:space="preserve">[DO UZUPEŁNIENIA: dostęp osób B2B do pulpitów, limity płatnych nieobecności B2B – opis w załączniku nr 5]</w:t>
      </w:r>
    </w:p>
    <w:p>
      <w:pPr>
        <w:pStyle w:val="Nagwek2"/>
      </w:pPr>
      <w:r>
        <w:t xml:space="preserve">Pracownicy oddelegowani do pracy za granicę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Na etapie analizy ustalono, że Klient </w:t>
      </w:r>
      <w:r>
        <w:rPr>
          <w:rStyle w:val="PoledoUzupelnienia"/>
          <w:highlight w:val="yellow"/>
        </w:rPr>
        <w:t xml:space="preserve">[DO UZUPEŁNIENIA: będzie / nie będzie]</w:t>
      </w:r>
      <w:r>
        <w:t xml:space="preserve"> ewidencjonował dane osób oddelegowanych do pracy za granicę. W systemie zostanie włączona standardowa funkcjonalność obsługi pracowników oddelegowanych, pozwalająca na prawidłowe pomniejszanie podstawy składek ZUS za czas oddelegowania oraz prawidłową kwalifikację dochodu opodatkowanego za granicą w deklaracji PIT-11.</w:t>
      </w:r>
    </w:p>
    <w:p>
      <w:pPr>
        <w:pStyle w:val="Normalny"/>
      </w:pPr>
      <w:r>
        <w:t xml:space="preserve">Charakterystyka oddelegowań: </w:t>
      </w:r>
      <w:r>
        <w:rPr>
          <w:rStyle w:val="PoledoUzupelnienia"/>
          <w:highlight w:val="yellow"/>
        </w:rPr>
        <w:t xml:space="preserve">[DO UZUPEŁNIENIA: liczba osób, kraje oddelegowania, waluta wynagrodzenia, dane przekazywane przez pracodawców zagranicznych, składniki wynagrodzenia, obecny sposób rozliczania]</w:t>
      </w:r>
      <w:r>
        <w:t xml:space="preserve">.</w:t>
      </w:r>
    </w:p>
    <w:p>
      <w:pPr>
        <w:pStyle w:val="Nagwek2"/>
      </w:pPr>
      <w:r>
        <w:t xml:space="preserve">Umowa o zakazie konkurencji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W trakcie spotkań analitycznych ustalono, że powstaną dedykowane pola umożliwiające zaewidencjonowanie umowy o zakazie konkurencji. Pola będą dostępne w kartotece pracownika w zakładce Dodatkowe (cechy) i będą elementami historycznymi – dane będą wprowadzane ze wskazaniem daty, od kiedy zmiana obowiązuje: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pola i wartości słowników, np. status umowy, rodzaj, uwagi]</w:t>
      </w:r>
      <w:r>
        <w:t xml:space="preserve">.</w:t>
      </w:r>
    </w:p>
    <w:p>
      <w:pPr>
        <w:pStyle w:val="Normalny"/>
      </w:pPr>
      <w:r>
        <w:t xml:space="preserve">Opisywane pola będą mogły zostać przeniesione na widok listy pracowników, wyraportowane i zapisane w pliku Excel.</w:t>
      </w:r>
    </w:p>
    <w:p>
      <w:pPr>
        <w:pStyle w:val="Nagwek2"/>
      </w:pPr>
      <w:r>
        <w:t xml:space="preserve">Ochrona danych osobowych – upoważnienia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Na etapie analizy ustalono, że w systemie enova365 będą ewidencjonowane upoważnienia do przetwarzania danych osobowych. Dane będą ewidencjonowane w kartotece pracownika w zakładce Ochrona danych osobowych/Uprawnienia, a lista wszystkich zaewidencjonowanych upoważnień dostępna będzie w widoku Uprawnienia. Jeden pracownik może posiadać kilka aktualnych upoważnień, a do upoważnienia możliwe jest dołączenie skanu dokumentu.</w:t>
      </w:r>
    </w:p>
    <w:p>
      <w:pPr>
        <w:keepNext/>
        <w:jc w:val="center"/>
      </w:pPr>
      <w:r>
        <w:drawing>
          <wp:inline distT="0" distB="0" distL="0" distR="0">
            <wp:extent cx="5732000" cy="2614928"/>
            <wp:docPr id="29" name="Obraz 29" descr="rodo_lista_upowaznie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" name="rodo_lista_upowaznien.png"/>
                    <pic:cNvPicPr/>
                  </pic:nvPicPr>
                  <pic:blipFill>
                    <a:blip r:embed="rIdObraz119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261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20</w:t>
      </w:r>
      <w:r>
        <w:fldChar w:fldCharType="end"/>
      </w:r>
      <w:r>
        <w:t xml:space="preserve"> Widok listy upoważnień</w:t>
      </w:r>
    </w:p>
    <w:p>
      <w:pPr>
        <w:pStyle w:val="Normalny"/>
      </w:pPr>
      <w:r>
        <w:t xml:space="preserve">Rodzaje upoważnień i dodatkowe pola: </w:t>
      </w:r>
      <w:r>
        <w:rPr>
          <w:rStyle w:val="PoledoUzupelnienia"/>
          <w:highlight w:val="yellow"/>
        </w:rPr>
        <w:t xml:space="preserve">[DO UZUPEŁNIENIA: lista rodzajów upoważnień oraz pól dodatkowych – lub usuń]</w:t>
      </w:r>
      <w:r>
        <w:t xml:space="preserve">.</w:t>
      </w:r>
    </w:p>
    <w:p>
      <w:pPr>
        <w:pStyle w:val="Nagwek2"/>
      </w:pPr>
      <w:r>
        <w:t xml:space="preserve">Praca zdalna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W trakcie spotkań analitycznych ustalono, że pracownicy będą wykonywać pracę zdalną w formach: </w:t>
      </w:r>
      <w:r>
        <w:rPr>
          <w:rStyle w:val="PoledoUzupelnienia"/>
          <w:highlight w:val="yellow"/>
        </w:rPr>
        <w:t xml:space="preserve">[DO UZUPEŁNIENIA: regulaminowa / okazjonalna / na wniosek pracownika uprzywilejowanego]</w:t>
      </w:r>
      <w:r>
        <w:t xml:space="preserve">. W systemie enova365 zostaną utworzone odpowiednie limity pracy zdalnej: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708"/>
        <w:gridCol w:w="2708"/>
        <w:gridCol w:w="3610"/>
      </w:tblGrid>
      <w:tr>
        <w:trPr>
          <w:cantSplit/>
          <w:tblHeader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Rodzaj pracy zdalnej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Limit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Zasady (proporcja do etatu, przeniesienie, kto zmienia limit)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t xml:space="preserve">Praca zdalna okazjonalna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24 dni w roku kalendarzowym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Limit ustawowy, niewykorzystany nie przechodzi na kolejny rok.</w:t>
            </w:r>
          </w:p>
        </w:tc>
      </w:tr>
      <w:tr>
        <w:trPr>
          <w:cantSplit/>
        </w:trPr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praca zdalna regulaminowa]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limit]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zasady]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Limity pracy zdalnej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ryczałt za pracę zdalną – zasady naliczania opisane w załączniku nr 3; wnioski o pracę zdalną – w załączniku nr 5]</w:t>
      </w:r>
    </w:p>
    <w:p>
      <w:pPr>
        <w:pStyle w:val="Nagwek2"/>
      </w:pPr>
      <w:r>
        <w:t xml:space="preserve">Nieobecności oraz limity nieobecności</w:t>
      </w:r>
    </w:p>
    <w:p>
      <w:pPr>
        <w:pStyle w:val="Normalny"/>
      </w:pPr>
      <w:r>
        <w:t xml:space="preserve">Nieobecności, które będą ewidencjonowane w programie enova365, są zgodne z definicjami ustalonymi przez producenta programu: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5416"/>
        <w:gridCol w:w="3610"/>
      </w:tblGrid>
      <w:tr>
        <w:trPr>
          <w:cantSplit/>
          <w:tblHeader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Nazwa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Typ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Badania lekarskie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Delegacja służbowa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Inna nieobecność (kod 350)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bezpłatna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Nieobec.nieusprawiedliwiona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Nieusprawiedliwiona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Nieobec.usprawiedliwiona niepł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bezpłatna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Nieobec.usprawiedliwiona płatn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Oddanie krwi lub osocza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Służba wojskowa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bezpłatna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Storno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Storno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Turnus rehabilitacyjny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bezpłatny (art 174 kp)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bezpłatna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bezpłatny (art 174.1 kp)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bezpłatna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bezpłatny (kod 350)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bezpłatna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bezpłatny(ćw.wojs.art.124.1 POORP)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bezpłatna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macierzyński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macierzyński /zlec.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macierzyński dla ojca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macierzyński dodatkowy (hist.)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na posz.pracy (Art.37kp)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ojcowski (art 182.3 kp)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okolicznościowy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opiekuńczy (art 188 kp, dni)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opiekuńczy (art 188 kp, godz.)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opiekuńczy niepł. (art 173.1 kp)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bezpłatna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radcowski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rehab. wypadek (stary)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rehabilitacyjny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rehabilitacyjny (stary)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rodzicielski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rodzicielski /zlec.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szkoleniowy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wych. 1,2 dz. (kod 121)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wych. 1,2 dz. (kod 122)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wych. 3... dz. (kod 121)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wych. 3... dz. (kod 122)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wych. samotn. (kod 121)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wych. samotn. (kod 122)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wych.bez zas.(kod 121)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wych.bez zas.(kod 122)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wychowawczy (kod 121)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wychowawczy (kod 122)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wychowawczy (macierz.dod., hist.)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wychowawczy (płaci ZUS)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Urlop wychowawczy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wychowawczy (ur.macierzyński)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wychowawczy (ur.rodzicielski)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wypoczynkowy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wypoczynkowy dodatkowy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Urlop wypoczynkowy prac.tymcz.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Zwolnienie chorobowe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Zwolnienie od pracy - siła wyższa (dni)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Zwolnienie od pracy - siła wyższa(godz.)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Zwolnienie opieka (ZUS)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Zwolnienie opieka(ZUS bez zasiłku 1/30)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Nieobecność ZUS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Zwolnienie opieka(ZUS bez zasiłku prop.)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bezpłatna</w:t>
            </w:r>
          </w:p>
        </w:tc>
      </w:tr>
      <w:tr>
        <w:trPr>
          <w:cantSplit/>
        </w:trPr>
        <w:tc>
          <w:tcPr>
            <w:tcW w:w="5416" w:type="dxa"/>
          </w:tcPr>
          <w:p>
            <w:pPr>
              <w:pStyle w:val="Tekstabeli"/>
            </w:pPr>
            <w:r>
              <w:t xml:space="preserve">Zwolnienie z obowiązku świadczenia pracy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Usprawiedliwiona płatna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Podstawowe definicje nieobecności</w:t>
      </w:r>
    </w:p>
    <w:p>
      <w:pPr>
        <w:pStyle w:val="Normalny"/>
      </w:pPr>
      <w:r>
        <w:t xml:space="preserve">Powyższa tabela zawiera wszystkie dostępne dla operatora kadrowego definicje nieobecności. Operator może dodać definicje kolejnych nieobecności w konfiguracji programu. Przy wpisywaniu danego rodzaju nieobecności możliwe jest uzupełnienie wszystkich niezbędnych danych zgodnie z obowiązującymi przepisami (np. procent płatności urlopu rodzicielskiego, kod świadczenia przerwy, tytuł ubezpieczenia). Przy urlopie rodzicielskim, wychowawczym i ojcowskim system wymaga wskazania dziecka, na które udzielany jest urlop.</w:t>
      </w:r>
    </w:p>
    <w:p>
      <w:pPr>
        <w:pStyle w:val="Normalny"/>
      </w:pPr>
      <w:r>
        <w:t xml:space="preserve">enova365 w standardowej wersji, stosownie do przepisów prawa pracy, umożliwia obsługę limitów nieobecności dla:</w:t>
      </w:r>
    </w:p>
    <w:p>
      <w:pPr>
        <w:pStyle w:val="Listapunktowana"/>
      </w:pPr>
      <w:r>
        <w:t xml:space="preserve">urlopu wypoczynkowego, w tym urlopu na żądanie;</w:t>
      </w:r>
    </w:p>
    <w:p>
      <w:pPr>
        <w:pStyle w:val="Listapunktowana"/>
      </w:pPr>
      <w:r>
        <w:t xml:space="preserve">urlopu wypoczynkowego dodatkowego;</w:t>
      </w:r>
    </w:p>
    <w:p>
      <w:pPr>
        <w:pStyle w:val="Listapunktowana"/>
      </w:pPr>
      <w:r>
        <w:t xml:space="preserve">opieki nad dzieckiem z art. 188 KP, zarówno w dniach, jak i w godzinach;</w:t>
      </w:r>
    </w:p>
    <w:p>
      <w:pPr>
        <w:pStyle w:val="Listapunktowana"/>
      </w:pPr>
      <w:r>
        <w:t xml:space="preserve">urlopu opiekuńczego;</w:t>
      </w:r>
    </w:p>
    <w:p>
      <w:pPr>
        <w:pStyle w:val="Listapunktowana"/>
      </w:pPr>
      <w:r>
        <w:t xml:space="preserve">zwolnienia od pracy z powodu siły wyższej (w dniach i godzinach);</w:t>
      </w:r>
    </w:p>
    <w:p>
      <w:pPr>
        <w:pStyle w:val="Listapunktowana"/>
      </w:pPr>
      <w:r>
        <w:t xml:space="preserve">wynagrodzenia chorobowego (33 dni oraz 14 dni dla pracownika po 50. roku życia) z uwzględnieniem danych z poprzedniego świadectwa pracy;</w:t>
      </w:r>
    </w:p>
    <w:p>
      <w:pPr>
        <w:pStyle w:val="Listapunktowana"/>
      </w:pPr>
      <w:r>
        <w:t xml:space="preserve">zasiłku chorobowego – kontrola 182/270 dni okresu zasiłkowego;</w:t>
      </w:r>
    </w:p>
    <w:p>
      <w:pPr>
        <w:pStyle w:val="Listapunktowana"/>
      </w:pPr>
      <w:r>
        <w:t xml:space="preserve">urlopu ojcowskiego – maksymalna liczba dni na dziecko z możliwością wykorzystania w częściach.</w:t>
      </w:r>
    </w:p>
    <w:p>
      <w:pPr>
        <w:pStyle w:val="Normalny"/>
      </w:pPr>
      <w:r>
        <w:t xml:space="preserve">Limit urlopu wypoczynkowego wylicza się z uwzględnieniem historii zatrudnienia oraz wykształcenia ewidencjonowanych w kartotece pracownika. Naliczanie limitów odbywa się raz w roku za pomocą operacji seryjnych – jednocześnie dla wielu pracowników. Jeśli w momencie naliczania pracownik ma wprowadzone wszelkie niezbędne dane, program pilnuje przejścia z limitu 20 na 26 dni, w tym w trakcie roku. Program obsługuje również limit urlopu w pierwszym roku pracy, proporcjonalność wymiaru do etatu oraz limit 4 dni urlopu na żądanie. W przypadku doniesienia świadectwa pracy operator musi przeliczyć limit (usunąć limit i naliczyć go ponownie).</w:t>
      </w:r>
    </w:p>
    <w:p>
      <w:pPr>
        <w:pStyle w:val="Normalny"/>
      </w:pPr>
      <w:r>
        <w:t xml:space="preserve">W celu naliczenia limitu opieki z art. 188 KP muszą zostać wprowadzone dane o dacie oświadczenia oraz o tym, czy pracownik wykorzystuje opiekę w dniach, czy w godzinach. </w:t>
      </w:r>
      <w:r>
        <w:rPr>
          <w:rStyle w:val="PoledoUzupelnienia"/>
          <w:highlight w:val="yellow"/>
        </w:rPr>
        <w:t xml:space="preserve">[DO UZUPEŁNIENIA: sposób zasilenia limitu art. 188 KP na start – np. import masowy w dniach lub godzinach]</w:t>
      </w:r>
    </w:p>
    <w:p>
      <w:pPr>
        <w:pStyle w:val="Normalny"/>
      </w:pPr>
      <w:r>
        <w:t xml:space="preserve">Na etapie analizy ustalono, że Klient </w:t>
      </w:r>
      <w:r>
        <w:rPr>
          <w:rStyle w:val="PoledoUzupelnienia"/>
          <w:highlight w:val="yellow"/>
        </w:rPr>
        <w:t xml:space="preserve">[DO UZUPEŁNIENIA: stosuje / nie stosuje]</w:t>
      </w:r>
      <w:r>
        <w:t xml:space="preserve"> dedykowane definicje nieobecności i limity: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2166"/>
        <w:gridCol w:w="1624"/>
        <w:gridCol w:w="1624"/>
        <w:gridCol w:w="2347"/>
        <w:gridCol w:w="1263"/>
      </w:tblGrid>
      <w:tr>
        <w:trPr>
          <w:cantSplit/>
          <w:tblHeader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Nieobecność dedykowana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Typ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Limit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Zasady (okres, części, warunki)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Wniosek w pulpicie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usprawiedliwiona płatna / niepłatna]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limit]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zasady]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tak / nie]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Dedykowane definicje nieobecności i limity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dodatkowe pola na nieobecnościach, np. dostarczenie dokumentu, pole z liczbą dni pozostałych do końca okresu zasiłkowego (mechanizm N) – lub usuń]</w:t>
      </w:r>
    </w:p>
    <w:p>
      <w:pPr>
        <w:pStyle w:val="Nagwek2"/>
      </w:pPr>
      <w:r>
        <w:t xml:space="preserve">Elektroniczna dokumentacja pracownicza</w:t>
      </w:r>
    </w:p>
    <w:p>
      <w:pPr>
        <w:pStyle w:val="Normalny"/>
      </w:pPr>
      <w:r>
        <w:t xml:space="preserve">Na etapie analizy ustalono, że Klient </w:t>
      </w:r>
      <w:r>
        <w:rPr>
          <w:rStyle w:val="PoledoUzupelnienia"/>
          <w:highlight w:val="yellow"/>
        </w:rPr>
        <w:t xml:space="preserve">[DO UZUPEŁNIENIA: będzie / nie będzie]</w:t>
      </w:r>
      <w:r>
        <w:t xml:space="preserve"> prowadził na dzień uruchomienia systemu elektroniczną dokumentację pracowniczą (e-akta). Funkcjonalność zostanie uruchomiona </w:t>
      </w:r>
      <w:r>
        <w:rPr>
          <w:rStyle w:val="PoledoUzupelnienia"/>
          <w:highlight w:val="yellow"/>
        </w:rPr>
        <w:t xml:space="preserve">[DO UZUPEŁNIENIA: w pełnym zakresie / wyłącznie na potrzeby udostępniania pracownikom deklaracji PIT-11 i informacji IMIR w pulpitach pracowniczych za potwierdzeniem odbioru]</w:t>
      </w:r>
      <w:r>
        <w:t xml:space="preserve">.</w:t>
      </w:r>
    </w:p>
    <w:p>
      <w:pPr>
        <w:pStyle w:val="Normalny"/>
      </w:pPr>
      <w:r>
        <w:t xml:space="preserve">Elektroniczna dokumentacja umożliwia również udostępnianie pracownikom wybranych dokumentów (np. regulaminów) z wymaganiem potwierdzenia zapoznania się z ich treścią.</w:t>
      </w:r>
    </w:p>
    <w:p>
      <w:pPr>
        <w:pStyle w:val="Nagwek2"/>
      </w:pPr>
      <w:r>
        <w:t xml:space="preserve">Integracja z programem Płatnik</w:t>
      </w:r>
    </w:p>
    <w:p>
      <w:pPr>
        <w:pStyle w:val="Normalny"/>
      </w:pPr>
      <w:r>
        <w:t xml:space="preserve">Integracja z programem Płatnik polega na wyeksportowaniu z enova365 pliku KEDU w formacie xml, a następnie – po uruchomieniu programu Płatnik – ręcznym zaimportowaniu zapisanego pliku.</w:t>
      </w:r>
    </w:p>
    <w:p>
      <w:pPr>
        <w:pStyle w:val="Nagwek2"/>
      </w:pPr>
      <w:r>
        <w:t xml:space="preserve">Szczególne warunki pracy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W systemie enova365 będą ewidencjonowane okresy pracy w szczególnych warunkach lub w szczególnym charakterze (data od, data do, rodzaj pracy ze słownika). Umożliwi to raportowanie, wydruk świadectwa pracy w warunkach szczególnych oraz generowanie raportów ZSWA.</w:t>
      </w:r>
    </w:p>
    <w:p>
      <w:pPr>
        <w:pStyle w:val="Normalny"/>
      </w:pPr>
      <w:r>
        <w:t xml:space="preserve">Słownik prac w szczególnych warunkach: </w:t>
      </w:r>
      <w:r>
        <w:rPr>
          <w:rStyle w:val="PoledoUzupelnienia"/>
          <w:highlight w:val="yellow"/>
        </w:rPr>
        <w:t xml:space="preserve">[DO UZUPEŁNIENIA: pozycje słownika z odniesieniem do załącznika rozporządzenia]</w:t>
      </w:r>
      <w:r>
        <w:t xml:space="preserve">.</w:t>
      </w:r>
    </w:p>
    <w:p>
      <w:pPr>
        <w:pStyle w:val="Nagwek2"/>
      </w:pPr>
      <w:r>
        <w:t xml:space="preserve">Szkolenia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W zakładce Ukończone szkolenia możliwe jest dodanie lub edycja szkolenia wraz ze wskazaniem okresu szkolenia i oceny. Do szkolenia możliwe będzie dołączenie skanu dokumentu.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dodatkowe pola (np. data ważności szkolenia) oraz wymagane filtry na liście szkoleń – lub usuń]</w:t>
      </w:r>
    </w:p>
    <w:p>
      <w:pPr>
        <w:pStyle w:val="Nagwek2"/>
      </w:pPr>
      <w:r>
        <w:t xml:space="preserve">Wypowiedzenia zmieniające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W systemie enova365 zostanie przygotowana ewidencja wypowiedzeń zmieniających obejmująca: </w:t>
      </w:r>
      <w:r>
        <w:rPr>
          <w:rStyle w:val="PoledoUzupelnienia"/>
          <w:highlight w:val="yellow"/>
        </w:rPr>
        <w:t xml:space="preserve">[DO UZUPEŁNIENIA: rodzaj (słownik), datę wręczenia, okres, status (słownik), rodzaj zmiany z wartością poprzednią i nową]</w:t>
      </w:r>
      <w:r>
        <w:t xml:space="preserve">. Wprowadzone dane będzie można raportować.</w:t>
      </w:r>
    </w:p>
    <w:p>
      <w:pPr>
        <w:pStyle w:val="Nagwek1"/>
      </w:pPr>
      <w:r>
        <w:t xml:space="preserve">Pytania otwarte – Kadry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451"/>
        <w:gridCol w:w="4062"/>
        <w:gridCol w:w="1083"/>
        <w:gridCol w:w="1263"/>
        <w:gridCol w:w="902"/>
        <w:gridCol w:w="1263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4062" w:type="dxa"/>
          </w:tcPr>
          <w:p>
            <w:pPr>
              <w:pStyle w:val="Tekstabeli"/>
            </w:pPr>
            <w:r>
              <w:t xml:space="preserve">Pytanie lub brakująca informacja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Sekcja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Odpowiedzialny</w:t>
            </w:r>
          </w:p>
        </w:tc>
        <w:tc>
          <w:tcPr>
            <w:tcW w:w="902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4062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treść pytania]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nr sekcji]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 One]</w:t>
            </w:r>
          </w:p>
        </w:tc>
        <w:tc>
          <w:tcPr>
            <w:tcW w:w="902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8</w:t>
      </w:r>
      <w:r>
        <w:fldChar w:fldCharType="end"/>
      </w:r>
      <w:r>
        <w:t xml:space="preserve"> Pytania otwarte – Kadry</w:t>
      </w:r>
    </w:p>
    <w:p>
      <w:pPr>
        <w:pStyle w:val="Nagwek1"/>
      </w:pPr>
      <w:r>
        <w:t xml:space="preserve">Kryteria odbioru</w:t>
      </w:r>
    </w:p>
    <w:p>
      <w:pPr>
        <w:pStyle w:val="Normalny"/>
      </w:pPr>
      <w:r>
        <w:t xml:space="preserve">Kryterium odbioru poprawności konfiguracji modułu kadrowego na etapie wdrożenia będzie przeprowadzenie testów przez Klienta z pozytywnym wynikiem.</w:t>
      </w:r>
    </w:p>
    <w:p>
      <w:pPr>
        <w:pStyle w:val="Normalny"/>
      </w:pPr>
      <w:r>
        <w:t xml:space="preserve">Testy zostaną przeprowadzone na podstawie przygotowanych scenariuszy testowych zawartych w pliku „Scenariusze testowe – Kadry.xlsx” dołączonym do dokumentu niniejszej analizy i uzgodnionych z Klientem.</w:t>
      </w:r>
    </w:p>
    <w:p>
      <w:pPr>
        <w:pStyle w:val="Nagwek1"/>
      </w:pPr>
      <w:r>
        <w:t xml:space="preserve">Wykaz tabel i rysunków</w:t>
      </w:r>
    </w:p>
    <w:p>
      <w:pPr>
        <w:pStyle w:val="Spisilustracji"/>
      </w:pPr>
      <w:r>
        <w:fldChar w:fldCharType="begin" w:dirty="true"/>
      </w:r>
      <w:r>
        <w:instrText xml:space="preserve"> TOC \h \z \c "Tabela" </w:instrText>
      </w:r>
      <w:r>
        <w:fldChar w:fldCharType="separate"/>
      </w:r>
      <w:r>
        <w:t xml:space="preserve">Wykaz tabel – zaktualizuj pole (F9).</w:t>
      </w:r>
      <w:r>
        <w:fldChar w:fldCharType="end"/>
      </w:r>
    </w:p>
    <w:p>
      <w:pPr>
        <w:pStyle w:val="Spisilustracji"/>
      </w:pPr>
      <w:r>
        <w:fldChar w:fldCharType="begin" w:dirty="true"/>
      </w:r>
      <w:r>
        <w:instrText xml:space="preserve"> TOC \h \z \c "Rys." </w:instrText>
      </w:r>
      <w:r>
        <w:fldChar w:fldCharType="separate"/>
      </w:r>
      <w:r>
        <w:t xml:space="preserve">Wykaz rysunków – zaktualizuj pole (F9).</w:t>
      </w:r>
      <w:r>
        <w:fldChar w:fldCharType="end"/>
      </w:r>
    </w:p>
    <w:p>
      <w:pPr>
        <w:pStyle w:val="Nagwek1"/>
      </w:pPr>
      <w:r>
        <w:t xml:space="preserve">Kontakt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Kierownik projektu]</w:t>
      </w:r>
    </w:p>
    <w:p>
      <w:pPr>
        <w:pStyle w:val="Bezodstpw"/>
      </w:pPr>
      <w:r>
        <w:t xml:space="preserve">Kierownik projektu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Kadry i Płace]</w:t>
      </w:r>
    </w:p>
    <w:p>
      <w:pPr>
        <w:pStyle w:val="Bezodstpw"/>
      </w:pPr>
      <w:r>
        <w:t xml:space="preserve">Konsultant wdrożeniowy – Kadry i Płace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Czas pracy i Pulpity]</w:t>
      </w:r>
    </w:p>
    <w:p>
      <w:pPr>
        <w:pStyle w:val="Bezodstpw"/>
      </w:pPr>
      <w:r>
        <w:t xml:space="preserve">Konsultant wdrożeniowy – Czas pracy i Pulpity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240"/>
      </w:pPr>
      <w:r>
        <w:t xml:space="preserve">Alt One, </w:t>
      </w:r>
      <w:r>
        <w:rPr>
          <w:rStyle w:val="PoledoUzupelnienia"/>
          <w:highlight w:val="yellow"/>
        </w:rPr>
        <w:t xml:space="preserve">[DO UZUPEŁNIENIA: adres siedziby wykonawcy]</w:t>
      </w:r>
    </w:p>
    <w:p>
      <w:pPr>
        <w:pStyle w:val="Bezodstpw"/>
      </w:pPr>
      <w:r>
        <w:t xml:space="preserve">tel. </w:t>
      </w:r>
      <w:r>
        <w:rPr>
          <w:rStyle w:val="PoledoUzupelnienia"/>
          <w:highlight w:val="yellow"/>
        </w:rPr>
        <w:t xml:space="preserve">[DO UZUPEŁNIENIA: telefon centrali]</w:t>
      </w:r>
      <w:r>
        <w:t xml:space="preserve">, </w:t>
      </w:r>
      <w:r>
        <w:rPr>
          <w:rStyle w:val="PoledoUzupelnienia"/>
          <w:highlight w:val="yellow"/>
        </w:rPr>
        <w:t xml:space="preserve">[DO UZUPEŁNIENIA: adres www i e-mail wykonawcy]</w:t>
      </w:r>
    </w:p>
    <w:p>
      <w:pPr>
        <w:spacing w:before="240"/>
      </w:pPr>
      <w:r>
        <w:drawing>
          <wp:inline distT="0" distB="0" distL="0" distR="0">
            <wp:extent cx="1620000" cy="565369"/>
            <wp:docPr id="30" name="Obraz 30" descr="partner_enova36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partner_enova365.png"/>
                    <pic:cNvPicPr/>
                  </pic:nvPicPr>
                  <pic:blipFill>
                    <a:blip r:embed="rIdObraz12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6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Relationship Id="rIdObraz102" Type="http://schemas.openxmlformats.org/officeDocument/2006/relationships/image" Target="media/obraz3.png"/><Relationship Id="rIdObraz103" Type="http://schemas.openxmlformats.org/officeDocument/2006/relationships/image" Target="media/obraz4.png"/><Relationship Id="rIdObraz104" Type="http://schemas.openxmlformats.org/officeDocument/2006/relationships/image" Target="media/obraz5.png"/><Relationship Id="rIdObraz105" Type="http://schemas.openxmlformats.org/officeDocument/2006/relationships/image" Target="media/obraz6.png"/><Relationship Id="rIdObraz106" Type="http://schemas.openxmlformats.org/officeDocument/2006/relationships/image" Target="media/obraz7.png"/><Relationship Id="rIdObraz107" Type="http://schemas.openxmlformats.org/officeDocument/2006/relationships/image" Target="media/obraz8.png"/><Relationship Id="rIdObraz108" Type="http://schemas.openxmlformats.org/officeDocument/2006/relationships/image" Target="media/obraz9.png"/><Relationship Id="rIdObraz109" Type="http://schemas.openxmlformats.org/officeDocument/2006/relationships/image" Target="media/obraz10.png"/><Relationship Id="rIdObraz110" Type="http://schemas.openxmlformats.org/officeDocument/2006/relationships/image" Target="media/obraz11.png"/><Relationship Id="rIdObraz111" Type="http://schemas.openxmlformats.org/officeDocument/2006/relationships/image" Target="media/obraz12.png"/><Relationship Id="rIdObraz112" Type="http://schemas.openxmlformats.org/officeDocument/2006/relationships/image" Target="media/obraz13.png"/><Relationship Id="rIdObraz113" Type="http://schemas.openxmlformats.org/officeDocument/2006/relationships/image" Target="media/obraz14.png"/><Relationship Id="rIdObraz114" Type="http://schemas.openxmlformats.org/officeDocument/2006/relationships/image" Target="media/obraz15.png"/><Relationship Id="rIdObraz115" Type="http://schemas.openxmlformats.org/officeDocument/2006/relationships/image" Target="media/obraz16.png"/><Relationship Id="rIdObraz116" Type="http://schemas.openxmlformats.org/officeDocument/2006/relationships/image" Target="media/obraz17.png"/><Relationship Id="rIdObraz117" Type="http://schemas.openxmlformats.org/officeDocument/2006/relationships/image" Target="media/obraz18.png"/><Relationship Id="rIdObraz118" Type="http://schemas.openxmlformats.org/officeDocument/2006/relationships/image" Target="media/obraz19.png"/><Relationship Id="rIdObraz119" Type="http://schemas.openxmlformats.org/officeDocument/2006/relationships/image" Target="media/obraz20.png"/><Relationship Id="rIdObraz120" Type="http://schemas.openxmlformats.org/officeDocument/2006/relationships/image" Target="media/obraz21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 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ZAŁĄCZNIK NR 1 DO ANALIZY PRZEDWDROŻENIOWEJ – Obszar: Kadry</dc:title>
  <dc:subject>Wzór załącznika nr 1 – Kadry – analizy przedwdrożeniowej enova365</dc:subject>
  <dc:creator>Wzór analizy KPCP</dc:creator>
  <cp:lastModifiedBy>Wzór analizy KPCP</cp:lastModifiedBy>
  <dcterms:created xsi:type="dcterms:W3CDTF">2026-10-20T07:56:23Z</dcterms:created>
  <dcterms:modified xsi:type="dcterms:W3CDTF">2026-10-20T07:56:23Z</dcterms:modified>
</cp:coreProperties>
</file>